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7A37A" w14:textId="36713CF3" w:rsidR="0070036C" w:rsidRDefault="0070036C">
      <w:pPr>
        <w:pStyle w:val="Corpodetexto"/>
        <w:ind w:left="4039"/>
        <w:rPr>
          <w:sz w:val="20"/>
        </w:rPr>
      </w:pPr>
    </w:p>
    <w:p w14:paraId="22F7333F" w14:textId="77777777" w:rsidR="0070036C" w:rsidRDefault="0070036C">
      <w:pPr>
        <w:pStyle w:val="Corpodetexto"/>
        <w:spacing w:before="5"/>
        <w:rPr>
          <w:sz w:val="22"/>
        </w:rPr>
      </w:pPr>
    </w:p>
    <w:p w14:paraId="1CE5D43B" w14:textId="77777777" w:rsidR="00E47FB5" w:rsidRDefault="00E47FB5" w:rsidP="00E47FB5">
      <w:pPr>
        <w:spacing w:before="3"/>
        <w:ind w:right="76"/>
        <w:jc w:val="center"/>
        <w:rPr>
          <w:rFonts w:ascii="Arial" w:hAnsi="Arial" w:cs="Arial"/>
          <w:b/>
          <w:sz w:val="24"/>
          <w:szCs w:val="24"/>
        </w:rPr>
      </w:pPr>
      <w:r>
        <w:rPr>
          <w:rFonts w:ascii="Arial" w:hAnsi="Arial" w:cs="Arial"/>
          <w:b/>
          <w:sz w:val="24"/>
          <w:szCs w:val="24"/>
        </w:rPr>
        <w:t>ANEXO 1</w:t>
      </w:r>
      <w:r w:rsidR="00F8133B">
        <w:rPr>
          <w:rFonts w:ascii="Arial" w:hAnsi="Arial" w:cs="Arial"/>
          <w:b/>
          <w:sz w:val="24"/>
          <w:szCs w:val="24"/>
        </w:rPr>
        <w:t xml:space="preserve"> – </w:t>
      </w:r>
      <w:r w:rsidR="00F8133B" w:rsidRPr="00DE21D6">
        <w:rPr>
          <w:rFonts w:ascii="Arial" w:hAnsi="Arial" w:cs="Arial"/>
          <w:b/>
          <w:sz w:val="24"/>
          <w:szCs w:val="24"/>
        </w:rPr>
        <w:t>MODELO PARA APRESENTAÇÃO DE RELATÓRIO FINAL</w:t>
      </w:r>
    </w:p>
    <w:p w14:paraId="380BA6BD" w14:textId="77777777" w:rsidR="00F8133B" w:rsidRDefault="00F8133B" w:rsidP="00E47FB5">
      <w:pPr>
        <w:spacing w:before="3"/>
        <w:ind w:right="76"/>
        <w:jc w:val="center"/>
        <w:rPr>
          <w:rFonts w:ascii="Arial" w:hAnsi="Arial" w:cs="Arial"/>
          <w:b/>
          <w:sz w:val="24"/>
          <w:szCs w:val="24"/>
        </w:rPr>
      </w:pPr>
    </w:p>
    <w:p w14:paraId="32086931" w14:textId="77777777" w:rsidR="00E47FB5" w:rsidRDefault="00E47FB5" w:rsidP="00E47FB5">
      <w:pPr>
        <w:spacing w:before="3"/>
        <w:ind w:right="2932"/>
        <w:jc w:val="both"/>
        <w:rPr>
          <w:rFonts w:ascii="Arial" w:hAnsi="Arial" w:cs="Arial"/>
          <w:b/>
          <w:sz w:val="24"/>
          <w:szCs w:val="24"/>
        </w:rPr>
      </w:pPr>
    </w:p>
    <w:p w14:paraId="07B8500D" w14:textId="77777777" w:rsidR="00E47FB5" w:rsidRDefault="00E47FB5" w:rsidP="00E47FB5">
      <w:pPr>
        <w:jc w:val="center"/>
        <w:rPr>
          <w:rFonts w:ascii="Arial" w:hAnsi="Arial" w:cs="Arial"/>
          <w:b/>
          <w:sz w:val="28"/>
          <w:szCs w:val="28"/>
          <w:lang w:val="pt-BR"/>
        </w:rPr>
      </w:pPr>
      <w:r>
        <w:rPr>
          <w:rFonts w:ascii="Arial" w:hAnsi="Arial" w:cs="Arial"/>
          <w:b/>
          <w:sz w:val="28"/>
          <w:szCs w:val="28"/>
          <w:lang w:val="pt-BR"/>
        </w:rPr>
        <w:t xml:space="preserve">Inoculação de </w:t>
      </w:r>
      <w:r>
        <w:rPr>
          <w:rFonts w:ascii="Arial" w:hAnsi="Arial" w:cs="Arial"/>
          <w:b/>
          <w:i/>
          <w:iCs/>
          <w:sz w:val="28"/>
          <w:szCs w:val="28"/>
          <w:lang w:val="pt-BR"/>
        </w:rPr>
        <w:t>Gluconacetobacter diazotrophicus</w:t>
      </w:r>
      <w:r>
        <w:rPr>
          <w:rFonts w:ascii="Arial" w:hAnsi="Arial" w:cs="Arial"/>
          <w:b/>
          <w:sz w:val="28"/>
          <w:szCs w:val="28"/>
          <w:lang w:val="pt-BR"/>
        </w:rPr>
        <w:t xml:space="preserve"> e seu efeito</w:t>
      </w:r>
    </w:p>
    <w:p w14:paraId="44E3AEA1" w14:textId="77777777" w:rsidR="00E47FB5" w:rsidRDefault="00E47FB5" w:rsidP="00E47FB5">
      <w:pPr>
        <w:jc w:val="center"/>
        <w:rPr>
          <w:rFonts w:ascii="Arial" w:hAnsi="Arial" w:cs="Arial"/>
          <w:b/>
          <w:sz w:val="28"/>
          <w:szCs w:val="28"/>
          <w:lang w:val="pt-BR"/>
        </w:rPr>
      </w:pPr>
      <w:r>
        <w:rPr>
          <w:rFonts w:ascii="Arial" w:hAnsi="Arial" w:cs="Arial"/>
          <w:b/>
          <w:sz w:val="28"/>
          <w:szCs w:val="28"/>
          <w:lang w:val="pt-BR"/>
        </w:rPr>
        <w:t xml:space="preserve">no desenvolvimento de plantas de arroz vermelho </w:t>
      </w:r>
    </w:p>
    <w:p w14:paraId="6DAF4142" w14:textId="77777777" w:rsidR="00E47FB5" w:rsidRDefault="00E47FB5" w:rsidP="00E47FB5">
      <w:pPr>
        <w:rPr>
          <w:rFonts w:ascii="Arial" w:hAnsi="Arial" w:cs="Arial"/>
          <w:sz w:val="20"/>
          <w:szCs w:val="20"/>
          <w:lang w:val="pt-BR"/>
        </w:rPr>
      </w:pPr>
    </w:p>
    <w:p w14:paraId="77677AF5" w14:textId="77777777" w:rsidR="00E47FB5" w:rsidRDefault="00E47FB5" w:rsidP="00E47FB5">
      <w:pPr>
        <w:jc w:val="center"/>
        <w:rPr>
          <w:rFonts w:ascii="Arial" w:hAnsi="Arial" w:cs="Arial"/>
          <w:b/>
          <w:sz w:val="24"/>
          <w:szCs w:val="24"/>
          <w:lang w:val="pt-BR"/>
        </w:rPr>
      </w:pPr>
      <w:r>
        <w:rPr>
          <w:rFonts w:ascii="Arial" w:hAnsi="Arial" w:cs="Arial"/>
          <w:b/>
          <w:sz w:val="24"/>
          <w:szCs w:val="24"/>
          <w:u w:val="single"/>
          <w:lang w:val="pt-BR"/>
        </w:rPr>
        <w:t>Renata Priscila Almeida Silva</w:t>
      </w:r>
      <w:r>
        <w:rPr>
          <w:rFonts w:ascii="Arial" w:hAnsi="Arial" w:cs="Arial"/>
          <w:b/>
          <w:sz w:val="24"/>
          <w:szCs w:val="24"/>
          <w:vertAlign w:val="superscript"/>
          <w:lang w:val="pt-BR"/>
        </w:rPr>
        <w:t xml:space="preserve"> (1)</w:t>
      </w:r>
      <w:r>
        <w:rPr>
          <w:rFonts w:ascii="Arial" w:hAnsi="Arial" w:cs="Arial"/>
          <w:b/>
          <w:sz w:val="24"/>
          <w:szCs w:val="24"/>
          <w:lang w:val="pt-BR"/>
        </w:rPr>
        <w:t>; Carlos Henrique Salvino Gadêlha Meneses</w:t>
      </w:r>
      <w:r>
        <w:rPr>
          <w:rFonts w:ascii="Arial" w:hAnsi="Arial" w:cs="Arial"/>
          <w:b/>
          <w:sz w:val="24"/>
          <w:szCs w:val="24"/>
          <w:vertAlign w:val="superscript"/>
          <w:lang w:val="pt-BR"/>
        </w:rPr>
        <w:t>(2)</w:t>
      </w:r>
      <w:r>
        <w:rPr>
          <w:rFonts w:ascii="Arial" w:hAnsi="Arial" w:cs="Arial"/>
          <w:b/>
          <w:sz w:val="24"/>
          <w:szCs w:val="24"/>
          <w:lang w:val="pt-BR"/>
        </w:rPr>
        <w:t>.</w:t>
      </w:r>
    </w:p>
    <w:p w14:paraId="57E4FE1E" w14:textId="77777777" w:rsidR="00E47FB5" w:rsidRDefault="00E47FB5" w:rsidP="00E47FB5">
      <w:pPr>
        <w:jc w:val="center"/>
        <w:rPr>
          <w:rFonts w:ascii="Arial" w:hAnsi="Arial" w:cs="Arial"/>
          <w:b/>
          <w:sz w:val="24"/>
          <w:szCs w:val="24"/>
          <w:lang w:val="pt-BR"/>
        </w:rPr>
      </w:pPr>
    </w:p>
    <w:p w14:paraId="06F59B25" w14:textId="77777777" w:rsidR="00E47FB5" w:rsidRDefault="00E47FB5" w:rsidP="00E47FB5">
      <w:pPr>
        <w:jc w:val="both"/>
        <w:rPr>
          <w:rFonts w:ascii="Arial" w:hAnsi="Arial" w:cs="Arial"/>
          <w:sz w:val="18"/>
          <w:szCs w:val="20"/>
          <w:lang w:val="pt-BR"/>
        </w:rPr>
      </w:pPr>
      <w:r>
        <w:rPr>
          <w:rFonts w:ascii="Arial" w:hAnsi="Arial" w:cs="Arial"/>
          <w:sz w:val="18"/>
          <w:vertAlign w:val="superscript"/>
          <w:lang w:val="pt-BR"/>
        </w:rPr>
        <w:t xml:space="preserve">(1) </w:t>
      </w:r>
      <w:r>
        <w:rPr>
          <w:rFonts w:ascii="Arial" w:hAnsi="Arial" w:cs="Arial"/>
          <w:sz w:val="18"/>
          <w:lang w:val="pt-BR"/>
        </w:rPr>
        <w:t xml:space="preserve">Estudante de Graduação em Ciências Biológicas; Universidade Estadual da Paraíba; Campina Grande, PB; </w:t>
      </w:r>
      <w:r>
        <w:rPr>
          <w:rFonts w:ascii="Arial" w:hAnsi="Arial" w:cs="Arial"/>
          <w:sz w:val="18"/>
          <w:vertAlign w:val="superscript"/>
          <w:lang w:val="pt-BR"/>
        </w:rPr>
        <w:t xml:space="preserve">(2) </w:t>
      </w:r>
      <w:r>
        <w:rPr>
          <w:rFonts w:ascii="Arial" w:hAnsi="Arial" w:cs="Arial"/>
          <w:sz w:val="18"/>
          <w:lang w:val="pt-BR"/>
        </w:rPr>
        <w:t>Professor do Departamento de Biologia e do Programa de Pós-Graduação em Ciências Agrárias; Universidade Estadual da Paraíba; Campina Grande, PB; carlos@ccaa.uepb.edu.br;</w:t>
      </w:r>
    </w:p>
    <w:p w14:paraId="174D908B" w14:textId="77777777" w:rsidR="00E47FB5" w:rsidRDefault="00E47FB5" w:rsidP="00E47FB5">
      <w:pPr>
        <w:rPr>
          <w:rFonts w:ascii="Arial" w:hAnsi="Arial" w:cs="Arial"/>
          <w:sz w:val="20"/>
          <w:lang w:val="pt-BR"/>
        </w:rPr>
      </w:pPr>
    </w:p>
    <w:p w14:paraId="15AEDD85" w14:textId="77777777" w:rsidR="00E47FB5" w:rsidRDefault="00E47FB5" w:rsidP="00E47FB5">
      <w:pPr>
        <w:rPr>
          <w:rFonts w:ascii="Arial" w:hAnsi="Arial" w:cs="Arial"/>
          <w:lang w:val="pt-BR"/>
        </w:rPr>
      </w:pPr>
    </w:p>
    <w:p w14:paraId="7074F38E" w14:textId="77777777" w:rsidR="00E47FB5" w:rsidRDefault="00E47FB5" w:rsidP="00E47FB5">
      <w:pPr>
        <w:autoSpaceDE/>
        <w:autoSpaceDN/>
        <w:rPr>
          <w:rFonts w:ascii="Arial" w:hAnsi="Arial" w:cs="Arial"/>
          <w:lang w:val="pt-BR"/>
        </w:rPr>
        <w:sectPr w:rsidR="00E47FB5">
          <w:pgSz w:w="11907" w:h="16840"/>
          <w:pgMar w:top="1440" w:right="1080" w:bottom="1440" w:left="1080" w:header="431" w:footer="431" w:gutter="0"/>
          <w:cols w:space="720"/>
        </w:sectPr>
      </w:pPr>
    </w:p>
    <w:p w14:paraId="51B09049" w14:textId="77777777" w:rsidR="00E47FB5" w:rsidRDefault="00E47FB5" w:rsidP="00E47FB5">
      <w:pPr>
        <w:jc w:val="both"/>
        <w:rPr>
          <w:rFonts w:ascii="Arial" w:eastAsia="TTE1A3B520T00" w:hAnsi="Arial" w:cs="Arial"/>
          <w:lang w:val="pt-BR"/>
        </w:rPr>
      </w:pPr>
      <w:r>
        <w:rPr>
          <w:rFonts w:ascii="Arial" w:hAnsi="Arial" w:cs="Arial"/>
          <w:b/>
          <w:lang w:val="pt-BR"/>
        </w:rPr>
        <w:t>RESUMO:</w:t>
      </w:r>
      <w:r>
        <w:rPr>
          <w:rFonts w:ascii="Arial" w:hAnsi="Arial" w:cs="Arial"/>
          <w:lang w:val="pt-BR"/>
        </w:rPr>
        <w:t xml:space="preserve"> O arroz (</w:t>
      </w:r>
      <w:r>
        <w:rPr>
          <w:rFonts w:ascii="Arial" w:hAnsi="Arial" w:cs="Arial"/>
          <w:i/>
          <w:iCs/>
          <w:lang w:val="pt-BR"/>
        </w:rPr>
        <w:t xml:space="preserve">Oryza sativa </w:t>
      </w:r>
      <w:r>
        <w:rPr>
          <w:rFonts w:ascii="Arial" w:hAnsi="Arial" w:cs="Arial"/>
          <w:lang w:val="pt-BR"/>
        </w:rPr>
        <w:t>L.</w:t>
      </w:r>
      <w:r>
        <w:rPr>
          <w:rFonts w:ascii="Arial" w:hAnsi="Arial" w:cs="Arial"/>
          <w:i/>
          <w:iCs/>
          <w:lang w:val="pt-BR"/>
        </w:rPr>
        <w:t xml:space="preserve">) </w:t>
      </w:r>
      <w:r>
        <w:rPr>
          <w:rFonts w:ascii="Arial" w:hAnsi="Arial" w:cs="Arial"/>
          <w:lang w:val="pt-BR"/>
        </w:rPr>
        <w:t xml:space="preserve">é um dos cereais mais produzidos e consumidos sendo o principal alimento para mais da metade da população mundial. Destaca-se principalmente nos países em desenvolvimento, tais como o Brasil, desempenhando papel estratégico em níveis econômicos e sociais. Nesse contexto, objetivou-se com o trabalho analisar o efeito no desenvolvimento de plantas de arroz vermelho inoculadas com </w:t>
      </w:r>
      <w:r>
        <w:rPr>
          <w:rFonts w:ascii="Arial" w:hAnsi="Arial" w:cs="Arial"/>
          <w:i/>
          <w:lang w:val="pt-BR"/>
        </w:rPr>
        <w:t>Gluconacetobacter diazotrophicus</w:t>
      </w:r>
      <w:r>
        <w:rPr>
          <w:rFonts w:ascii="Arial" w:hAnsi="Arial" w:cs="Arial"/>
          <w:lang w:val="pt-BR"/>
        </w:rPr>
        <w:t xml:space="preserve"> em ambiente protegido. O Experimento foi realizado no Viveiro Florestal da UEPB </w:t>
      </w:r>
      <w:r>
        <w:rPr>
          <w:rFonts w:ascii="Arial" w:hAnsi="Arial" w:cs="Arial"/>
          <w:color w:val="000000"/>
          <w:lang w:val="pt-BR"/>
        </w:rPr>
        <w:t>e no Laboratório de Ecofisiologia de plantas cultivadas,</w:t>
      </w:r>
      <w:r>
        <w:rPr>
          <w:rFonts w:ascii="Arial" w:hAnsi="Arial" w:cs="Arial"/>
          <w:lang w:val="pt-BR"/>
        </w:rPr>
        <w:t xml:space="preserve"> localizados no Campus I, em Campina Grande – PB, </w:t>
      </w:r>
      <w:r>
        <w:rPr>
          <w:rFonts w:ascii="Arial" w:hAnsi="Arial" w:cs="Arial"/>
          <w:color w:val="000000"/>
          <w:lang w:val="pt-BR"/>
        </w:rPr>
        <w:t xml:space="preserve">com o cultivo de arroz vermelho com sementes inoculadas e não inoculadas </w:t>
      </w:r>
      <w:r>
        <w:rPr>
          <w:rFonts w:ascii="Arial" w:hAnsi="Arial" w:cs="Arial"/>
          <w:lang w:val="pt-BR"/>
        </w:rPr>
        <w:t xml:space="preserve">com </w:t>
      </w:r>
      <w:r>
        <w:rPr>
          <w:rFonts w:ascii="Arial" w:hAnsi="Arial" w:cs="Arial"/>
          <w:i/>
          <w:lang w:val="pt-BR"/>
        </w:rPr>
        <w:t xml:space="preserve">G. diazotrophicus, </w:t>
      </w:r>
      <w:r>
        <w:rPr>
          <w:rFonts w:ascii="Arial" w:hAnsi="Arial" w:cs="Arial"/>
          <w:lang w:val="pt-BR"/>
        </w:rPr>
        <w:t>um genótipo (405 Embrapa Meio Norte) tratadas com e sem estresse hídrico, u</w:t>
      </w:r>
      <w:r>
        <w:rPr>
          <w:rFonts w:ascii="Arial" w:eastAsia="TTE1A3B520T00" w:hAnsi="Arial" w:cs="Arial"/>
          <w:lang w:val="pt-BR"/>
        </w:rPr>
        <w:t xml:space="preserve">tilizando o delineamento inteiramente casualizado, avaliou-se as variáveis de crescimento como, massa seca das folhas (MSF); massa seca do colmos (MSC) e massa seca das panículas (MSP).  Conclui-se que a inoculação da bactéria </w:t>
      </w:r>
      <w:r>
        <w:rPr>
          <w:rFonts w:ascii="Arial" w:hAnsi="Arial" w:cs="Arial"/>
          <w:i/>
          <w:iCs/>
          <w:lang w:val="pt-BR"/>
        </w:rPr>
        <w:t xml:space="preserve">G. diazotrophicus </w:t>
      </w:r>
      <w:r>
        <w:rPr>
          <w:rFonts w:ascii="Arial" w:hAnsi="Arial" w:cs="Arial"/>
          <w:iCs/>
          <w:lang w:val="pt-BR"/>
        </w:rPr>
        <w:t xml:space="preserve">demostrou-se eficiente quanto ao aumento da produção de massa seca. </w:t>
      </w:r>
    </w:p>
    <w:p w14:paraId="7D9C2A8A" w14:textId="77777777" w:rsidR="00E47FB5" w:rsidRDefault="00E47FB5" w:rsidP="00E47FB5">
      <w:pPr>
        <w:jc w:val="both"/>
        <w:rPr>
          <w:rFonts w:ascii="Arial" w:hAnsi="Arial" w:cs="Arial"/>
          <w:lang w:val="pt-BR"/>
        </w:rPr>
      </w:pPr>
    </w:p>
    <w:p w14:paraId="6B18F128" w14:textId="77777777" w:rsidR="00E47FB5" w:rsidRDefault="00F8133B" w:rsidP="00E47FB5">
      <w:pPr>
        <w:jc w:val="both"/>
        <w:rPr>
          <w:rFonts w:ascii="Arial" w:hAnsi="Arial" w:cs="Arial"/>
          <w:lang w:val="pt-BR"/>
        </w:rPr>
      </w:pPr>
      <w:r>
        <w:rPr>
          <w:rFonts w:ascii="Arial" w:hAnsi="Arial" w:cs="Arial"/>
          <w:b/>
          <w:lang w:val="pt-BR"/>
        </w:rPr>
        <w:t>Palavras-chave</w:t>
      </w:r>
      <w:r w:rsidR="00E47FB5">
        <w:rPr>
          <w:rFonts w:ascii="Arial" w:hAnsi="Arial" w:cs="Arial"/>
          <w:b/>
          <w:lang w:val="pt-BR"/>
        </w:rPr>
        <w:t>:</w:t>
      </w:r>
      <w:r w:rsidR="00E47FB5">
        <w:rPr>
          <w:rFonts w:ascii="Arial" w:hAnsi="Arial" w:cs="Arial"/>
          <w:lang w:val="pt-BR"/>
        </w:rPr>
        <w:t xml:space="preserve"> </w:t>
      </w:r>
      <w:r w:rsidR="00E47FB5">
        <w:rPr>
          <w:rFonts w:ascii="Arial" w:hAnsi="Arial" w:cs="Arial"/>
          <w:i/>
          <w:iCs/>
          <w:lang w:val="pt-BR"/>
        </w:rPr>
        <w:t xml:space="preserve">Oryza sativa </w:t>
      </w:r>
      <w:r w:rsidR="00E47FB5">
        <w:rPr>
          <w:rFonts w:ascii="Arial" w:hAnsi="Arial" w:cs="Arial"/>
          <w:lang w:val="pt-BR"/>
        </w:rPr>
        <w:t xml:space="preserve">L.; </w:t>
      </w:r>
      <w:r w:rsidR="00E47FB5">
        <w:rPr>
          <w:rFonts w:ascii="Arial" w:hAnsi="Arial" w:cs="Arial"/>
          <w:iCs/>
          <w:lang w:val="pt-BR"/>
        </w:rPr>
        <w:t>bactéria endofítica; Crescimento</w:t>
      </w:r>
    </w:p>
    <w:p w14:paraId="36E883A4" w14:textId="77777777" w:rsidR="00E47FB5" w:rsidRDefault="00E47FB5" w:rsidP="00E47FB5">
      <w:pPr>
        <w:jc w:val="both"/>
        <w:rPr>
          <w:rFonts w:ascii="Arial" w:hAnsi="Arial" w:cs="Arial"/>
          <w:b/>
          <w:smallCaps/>
          <w:lang w:val="pt-BR"/>
        </w:rPr>
      </w:pPr>
    </w:p>
    <w:p w14:paraId="110F0B04" w14:textId="77777777" w:rsidR="00E47FB5" w:rsidRDefault="00E47FB5" w:rsidP="00E47FB5">
      <w:pPr>
        <w:pStyle w:val="Ttulo1"/>
        <w:ind w:left="0" w:firstLine="0"/>
        <w:rPr>
          <w:rFonts w:ascii="Arial" w:hAnsi="Arial" w:cs="Arial"/>
          <w:b w:val="0"/>
          <w:smallCaps/>
          <w:lang w:val="pt-BR"/>
        </w:rPr>
      </w:pPr>
      <w:r>
        <w:rPr>
          <w:rFonts w:ascii="Arial" w:hAnsi="Arial" w:cs="Arial"/>
          <w:b w:val="0"/>
          <w:lang w:val="pt-BR"/>
        </w:rPr>
        <w:t>INTRODUÇÃO</w:t>
      </w:r>
    </w:p>
    <w:p w14:paraId="0926432A" w14:textId="77777777" w:rsidR="00E47FB5" w:rsidRDefault="00E47FB5" w:rsidP="00E47FB5">
      <w:pPr>
        <w:pStyle w:val="Abstract"/>
        <w:ind w:firstLine="284"/>
        <w:rPr>
          <w:rFonts w:ascii="Arial" w:hAnsi="Arial" w:cs="Arial"/>
          <w:b w:val="0"/>
          <w:sz w:val="20"/>
          <w:szCs w:val="20"/>
          <w:lang w:val="pt-BR"/>
        </w:rPr>
      </w:pPr>
    </w:p>
    <w:p w14:paraId="1BEB6A44" w14:textId="77777777" w:rsidR="00E47FB5" w:rsidRDefault="00E47FB5" w:rsidP="00E47FB5">
      <w:pPr>
        <w:ind w:firstLine="284"/>
        <w:jc w:val="both"/>
        <w:rPr>
          <w:rFonts w:ascii="Arial" w:hAnsi="Arial" w:cs="Arial"/>
          <w:sz w:val="20"/>
          <w:szCs w:val="20"/>
          <w:lang w:val="pt-BR"/>
        </w:rPr>
      </w:pPr>
      <w:r>
        <w:rPr>
          <w:rFonts w:ascii="Arial" w:hAnsi="Arial" w:cs="Arial"/>
          <w:lang w:val="pt-BR"/>
        </w:rPr>
        <w:t xml:space="preserve">O arroz vermelho, o arroz branco e o vermelho espontâneo pertencem à espécie </w:t>
      </w:r>
      <w:r>
        <w:rPr>
          <w:rFonts w:ascii="Arial" w:hAnsi="Arial" w:cs="Arial"/>
          <w:i/>
          <w:lang w:val="pt-BR"/>
        </w:rPr>
        <w:t>Oryza sativa</w:t>
      </w:r>
      <w:r>
        <w:rPr>
          <w:rFonts w:ascii="Arial" w:hAnsi="Arial" w:cs="Arial"/>
          <w:lang w:val="pt-BR"/>
        </w:rPr>
        <w:t xml:space="preserve"> L., (BOÊNO et al., 2011). Porém o arroz vermelho possui características morfológicas que o distingue dos demais. Sua forma mais conhecida é a espontânea, tida como planta invasora por causar consideráveis </w:t>
      </w:r>
      <w:r>
        <w:rPr>
          <w:rFonts w:ascii="Arial" w:hAnsi="Arial" w:cs="Arial"/>
          <w:lang w:val="pt-BR"/>
        </w:rPr>
        <w:t xml:space="preserve">prejuízos às lavouras de arroz branco causando competição intraespecífica por competir diretamente por luz, água e nutrientes (PEREIRA, 2004). A denominação “arroz vermelho” deve-se à coloração avermelhada do pericarpo dos grãos, devido ao acúmulo de tanino (OGAWA, 1992) ou de antocianina (PANTONE &amp; BEKER, 1991). Atualmente, seu cultivo está restrito a pequenas áreas do Semiárido nordestino, onde figuram, pela ordem decrescente de importância da cultura, os estados da Paraíba, Rio Grande do Norte, Pernambuco, Ceará, Bahia e Alagoas. Variedades tradicionais vermelhas também são plantadas em alguns municípios do Norte de Minas Gerais (PEREIRA, 2002, 2004). </w:t>
      </w:r>
    </w:p>
    <w:p w14:paraId="31587B89" w14:textId="77777777" w:rsidR="00E47FB5" w:rsidRDefault="00E47FB5" w:rsidP="00E47FB5">
      <w:pPr>
        <w:ind w:firstLine="284"/>
        <w:jc w:val="both"/>
        <w:rPr>
          <w:rFonts w:ascii="Arial" w:hAnsi="Arial" w:cs="Arial"/>
          <w:lang w:val="pt-BR"/>
        </w:rPr>
      </w:pPr>
      <w:r>
        <w:rPr>
          <w:rFonts w:ascii="Arial" w:hAnsi="Arial" w:cs="Arial"/>
          <w:lang w:val="pt-BR"/>
        </w:rPr>
        <w:t xml:space="preserve">Bactérias que se associam às plantas, colonizando suas raízes, são denominadas rizobactérias, e podem ser classificadas de acordo com seus efeitos sobre o crescimento vegetal: benéficas, deletérias ou neutras (DOBBELAERE et al., 2003). Algumas bactérias quando benéficas propagam no sistema radicular e promovem o crescimento vegetal, sendo denominadas rizobactérias promotoras de crescimento vegetal – plant growth promoting rhizobacteria (PGPR) (KUSS, 2006).  </w:t>
      </w:r>
    </w:p>
    <w:p w14:paraId="2A87FF87" w14:textId="77777777" w:rsidR="00E47FB5" w:rsidRDefault="00E47FB5" w:rsidP="00E47FB5">
      <w:pPr>
        <w:ind w:firstLine="284"/>
        <w:jc w:val="both"/>
        <w:rPr>
          <w:rFonts w:ascii="Arial" w:hAnsi="Arial" w:cs="Arial"/>
          <w:lang w:val="pt-BR"/>
        </w:rPr>
      </w:pPr>
      <w:r>
        <w:rPr>
          <w:rFonts w:ascii="Arial" w:hAnsi="Arial" w:cs="Arial"/>
        </w:rPr>
        <w:t xml:space="preserve">Bastian et al. (1998) verificaram que as bactérias </w:t>
      </w:r>
      <w:r>
        <w:rPr>
          <w:rFonts w:ascii="Arial" w:hAnsi="Arial" w:cs="Arial"/>
          <w:i/>
          <w:iCs/>
        </w:rPr>
        <w:t xml:space="preserve">Herbaspirillum seropedicae </w:t>
      </w:r>
      <w:r>
        <w:rPr>
          <w:rFonts w:ascii="Arial" w:hAnsi="Arial" w:cs="Arial"/>
        </w:rPr>
        <w:t xml:space="preserve">e </w:t>
      </w:r>
      <w:r>
        <w:rPr>
          <w:rFonts w:ascii="Arial" w:hAnsi="Arial" w:cs="Arial"/>
          <w:i/>
          <w:iCs/>
        </w:rPr>
        <w:t xml:space="preserve">Gluconacetobacter diazotrophicus </w:t>
      </w:r>
      <w:r>
        <w:rPr>
          <w:rFonts w:ascii="Arial" w:hAnsi="Arial" w:cs="Arial"/>
        </w:rPr>
        <w:t xml:space="preserve">produzem giberelinas e ácido indol acético (AIA), sendo possível explicar alguns efeitos benéficos destas bactérias dentro da planta. </w:t>
      </w:r>
      <w:r>
        <w:rPr>
          <w:rFonts w:ascii="Arial" w:hAnsi="Arial" w:cs="Arial"/>
          <w:lang w:val="pt-BR"/>
        </w:rPr>
        <w:t xml:space="preserve">Além da capacidade de fixar biologicamente o nitrogênio nas plantas, algumas bactérias diazotróficas endofíticas podem ser consideradas promotoras de crescimento vegetal, visto que ao colonizar as raízes e outros tecidos internos das plantas estimulam o crescimento destas através de </w:t>
      </w:r>
      <w:r>
        <w:rPr>
          <w:rFonts w:ascii="Arial" w:hAnsi="Arial" w:cs="Arial"/>
          <w:lang w:val="pt-BR"/>
        </w:rPr>
        <w:lastRenderedPageBreak/>
        <w:t xml:space="preserve">diferentes mecanismos tais como, produção de hormônios de crescimento como a auxina entre outros (REIS et al., 2000), além de serem capazes de atuar como solubilizadoras de fosfatos, agentes de controle biológico ou mesmo este grupo pode acelerar processos biológicos como a mineralização (SOMERS &amp; VANDERLEYDEN, 2004). </w:t>
      </w:r>
    </w:p>
    <w:p w14:paraId="3E629FD5" w14:textId="77777777" w:rsidR="00E47FB5" w:rsidRDefault="00E47FB5" w:rsidP="00E47FB5">
      <w:pPr>
        <w:ind w:firstLine="284"/>
        <w:jc w:val="both"/>
        <w:rPr>
          <w:rFonts w:ascii="Arial" w:hAnsi="Arial" w:cs="Arial"/>
          <w:lang w:val="pt-BR"/>
        </w:rPr>
      </w:pPr>
      <w:r>
        <w:rPr>
          <w:rFonts w:ascii="Arial" w:hAnsi="Arial" w:cs="Arial"/>
          <w:lang w:val="pt-BR"/>
        </w:rPr>
        <w:t>A interação entre plantas e bactérias promotoras de crescimento vegetal é bastante conhecida, podendo influenciar diretamente no metabolismo das plantas, fornecendo substâncias que normalmente estariam em menor quantidade, pela absorção de nutrientes ou também pelo biocontrole de patógenos (BASHAN &amp; DE-BASHAN, 2005).</w:t>
      </w:r>
    </w:p>
    <w:p w14:paraId="689A7449" w14:textId="77777777" w:rsidR="00E47FB5" w:rsidRDefault="00E47FB5" w:rsidP="00E47FB5">
      <w:pPr>
        <w:pStyle w:val="Default"/>
        <w:ind w:firstLine="284"/>
        <w:jc w:val="both"/>
        <w:rPr>
          <w:rFonts w:ascii="Arial" w:hAnsi="Arial" w:cs="Arial"/>
          <w:sz w:val="20"/>
          <w:szCs w:val="20"/>
        </w:rPr>
      </w:pPr>
      <w:r>
        <w:rPr>
          <w:rFonts w:ascii="Arial" w:hAnsi="Arial" w:cs="Arial"/>
          <w:sz w:val="20"/>
          <w:szCs w:val="20"/>
        </w:rPr>
        <w:t xml:space="preserve">Objetivou-se com esse trabalho avaliar o efeito da inoculação de </w:t>
      </w:r>
      <w:r>
        <w:rPr>
          <w:rFonts w:ascii="Arial" w:hAnsi="Arial" w:cs="Arial"/>
          <w:i/>
          <w:iCs/>
          <w:sz w:val="20"/>
          <w:szCs w:val="20"/>
        </w:rPr>
        <w:t xml:space="preserve">Gluconacetobacter diazotrophicus </w:t>
      </w:r>
      <w:r>
        <w:rPr>
          <w:rFonts w:ascii="Arial" w:hAnsi="Arial" w:cs="Arial"/>
          <w:iCs/>
          <w:sz w:val="20"/>
          <w:szCs w:val="20"/>
        </w:rPr>
        <w:t>no desenvolvimento de plantas de arroz vermelho em ambiente protegido</w:t>
      </w:r>
      <w:r>
        <w:rPr>
          <w:rFonts w:ascii="Arial" w:hAnsi="Arial" w:cs="Arial"/>
          <w:sz w:val="20"/>
          <w:szCs w:val="20"/>
        </w:rPr>
        <w:t xml:space="preserve">. </w:t>
      </w:r>
    </w:p>
    <w:p w14:paraId="086C006C" w14:textId="77777777" w:rsidR="00E47FB5" w:rsidRDefault="00E47FB5" w:rsidP="00E47FB5">
      <w:pPr>
        <w:ind w:firstLine="709"/>
        <w:jc w:val="both"/>
        <w:rPr>
          <w:rFonts w:ascii="Arial" w:hAnsi="Arial" w:cs="Arial"/>
          <w:sz w:val="20"/>
          <w:szCs w:val="20"/>
          <w:lang w:val="pt-BR"/>
        </w:rPr>
      </w:pPr>
    </w:p>
    <w:p w14:paraId="3258D1ED" w14:textId="77777777" w:rsidR="00E47FB5" w:rsidRDefault="00E47FB5" w:rsidP="00E47FB5">
      <w:pPr>
        <w:pStyle w:val="Ttulo1"/>
        <w:ind w:left="0" w:firstLine="0"/>
        <w:rPr>
          <w:rFonts w:ascii="Arial" w:hAnsi="Arial" w:cs="Arial"/>
          <w:lang w:val="pt-BR"/>
        </w:rPr>
      </w:pPr>
      <w:r>
        <w:rPr>
          <w:rFonts w:ascii="Arial" w:hAnsi="Arial" w:cs="Arial"/>
          <w:b w:val="0"/>
          <w:lang w:val="pt-BR"/>
        </w:rPr>
        <w:t>MATERIAL E MÉTODOS</w:t>
      </w:r>
    </w:p>
    <w:p w14:paraId="147A4EC3" w14:textId="77777777" w:rsidR="00E47FB5" w:rsidRDefault="00E47FB5" w:rsidP="00E47FB5">
      <w:pPr>
        <w:rPr>
          <w:rFonts w:ascii="Arial" w:hAnsi="Arial" w:cs="Arial"/>
          <w:lang w:val="pt-BR"/>
        </w:rPr>
      </w:pPr>
    </w:p>
    <w:p w14:paraId="332C4444" w14:textId="77777777" w:rsidR="00E47FB5" w:rsidRDefault="00E47FB5" w:rsidP="00E47FB5">
      <w:pPr>
        <w:rPr>
          <w:rFonts w:ascii="Arial" w:hAnsi="Arial" w:cs="Arial"/>
          <w:b/>
          <w:lang w:val="pt-BR"/>
        </w:rPr>
      </w:pPr>
      <w:r>
        <w:rPr>
          <w:rFonts w:ascii="Arial" w:hAnsi="Arial" w:cs="Arial"/>
          <w:b/>
          <w:lang w:val="pt-BR"/>
        </w:rPr>
        <w:t>Caracterização da área experimental</w:t>
      </w:r>
    </w:p>
    <w:p w14:paraId="4443ABBC" w14:textId="77777777" w:rsidR="00E47FB5" w:rsidRDefault="00E47FB5" w:rsidP="00E47FB5">
      <w:pPr>
        <w:ind w:firstLine="284"/>
        <w:jc w:val="both"/>
        <w:rPr>
          <w:rFonts w:ascii="Arial" w:hAnsi="Arial" w:cs="Arial"/>
          <w:lang w:val="pt-BR"/>
        </w:rPr>
      </w:pPr>
      <w:r>
        <w:rPr>
          <w:rFonts w:ascii="Arial" w:hAnsi="Arial" w:cs="Arial"/>
          <w:lang w:val="pt-BR"/>
        </w:rPr>
        <w:t>O experimento foi realizado no horto florestal e no ECOLAB, localizados no Campus I, Campina Grande-PB.</w:t>
      </w:r>
    </w:p>
    <w:p w14:paraId="73202CA0" w14:textId="77777777" w:rsidR="00E47FB5" w:rsidRDefault="00E47FB5" w:rsidP="00E47FB5">
      <w:pPr>
        <w:pStyle w:val="Text"/>
        <w:ind w:firstLine="0"/>
        <w:rPr>
          <w:rFonts w:ascii="Arial" w:hAnsi="Arial" w:cs="Arial"/>
          <w:b/>
          <w:lang w:val="pt-BR"/>
        </w:rPr>
      </w:pPr>
    </w:p>
    <w:p w14:paraId="345CF475" w14:textId="77777777" w:rsidR="00E47FB5" w:rsidRDefault="00E47FB5" w:rsidP="00E47FB5">
      <w:pPr>
        <w:pStyle w:val="Text"/>
        <w:ind w:firstLine="0"/>
        <w:rPr>
          <w:rFonts w:ascii="Arial" w:hAnsi="Arial" w:cs="Arial"/>
          <w:b/>
          <w:lang w:val="pt-BR"/>
        </w:rPr>
      </w:pPr>
      <w:r>
        <w:rPr>
          <w:rFonts w:ascii="Arial" w:hAnsi="Arial" w:cs="Arial"/>
          <w:b/>
          <w:lang w:val="pt-BR"/>
        </w:rPr>
        <w:t>Tratamentos e amostragens</w:t>
      </w:r>
    </w:p>
    <w:p w14:paraId="6D1AE991" w14:textId="77777777" w:rsidR="00E47FB5" w:rsidRDefault="00E47FB5" w:rsidP="00E47FB5">
      <w:pPr>
        <w:pStyle w:val="Text"/>
        <w:spacing w:line="240" w:lineRule="auto"/>
        <w:ind w:firstLine="284"/>
        <w:rPr>
          <w:rFonts w:ascii="Arial" w:eastAsia="TTE1A3B520T00" w:hAnsi="Arial" w:cs="Arial"/>
          <w:color w:val="000000"/>
          <w:lang w:val="pt-BR"/>
        </w:rPr>
      </w:pPr>
      <w:r>
        <w:rPr>
          <w:rFonts w:ascii="Arial" w:eastAsia="TTE1A3B520T00" w:hAnsi="Arial" w:cs="Arial"/>
          <w:color w:val="000000"/>
          <w:lang w:val="pt-BR"/>
        </w:rPr>
        <w:t>O experimento consistiu dos seguintes tratamentos: inoculação: I1= sementes não inoculadas e I2= sementes inoculadas com a bactéria endofítica G. diazotrophicus, um genótipo (G1= 405 Embrapa Meio Norte). Utilizando-se o delineamento inteiramente casualizados, com 4 repetições, e cada parcela constituída por um lisímetro de drenagem. Foram semeadas 70 sementes por lisímetro em sulcos duplos, deixando-se após desbaste 60 plantas por parcela, respectivamente.</w:t>
      </w:r>
    </w:p>
    <w:p w14:paraId="3C7F614D" w14:textId="77777777" w:rsidR="00E47FB5" w:rsidRDefault="00E47FB5" w:rsidP="00E47FB5">
      <w:pPr>
        <w:pStyle w:val="Text"/>
        <w:spacing w:line="240" w:lineRule="auto"/>
        <w:ind w:firstLine="284"/>
        <w:rPr>
          <w:rFonts w:ascii="Arial" w:hAnsi="Arial" w:cs="Arial"/>
          <w:lang w:val="pt-BR"/>
        </w:rPr>
      </w:pPr>
    </w:p>
    <w:p w14:paraId="7DC4AA19" w14:textId="77777777" w:rsidR="00E47FB5" w:rsidRDefault="00E47FB5" w:rsidP="00E47FB5">
      <w:pPr>
        <w:pStyle w:val="Default"/>
        <w:rPr>
          <w:rFonts w:ascii="Arial" w:hAnsi="Arial" w:cs="Arial"/>
          <w:sz w:val="20"/>
          <w:szCs w:val="20"/>
        </w:rPr>
      </w:pPr>
      <w:r>
        <w:rPr>
          <w:rFonts w:ascii="Arial" w:hAnsi="Arial" w:cs="Arial"/>
          <w:b/>
          <w:bCs/>
          <w:sz w:val="20"/>
          <w:szCs w:val="20"/>
        </w:rPr>
        <w:t xml:space="preserve">Variáveis analisadas: Crescimento </w:t>
      </w:r>
    </w:p>
    <w:p w14:paraId="7CBE8D32" w14:textId="77777777" w:rsidR="00E47FB5" w:rsidRDefault="00E47FB5" w:rsidP="00E47FB5">
      <w:pPr>
        <w:pStyle w:val="Default"/>
        <w:ind w:firstLine="284"/>
        <w:jc w:val="both"/>
        <w:rPr>
          <w:rFonts w:ascii="Arial" w:hAnsi="Arial" w:cs="Arial"/>
          <w:sz w:val="20"/>
          <w:szCs w:val="20"/>
        </w:rPr>
      </w:pPr>
      <w:r>
        <w:rPr>
          <w:rFonts w:ascii="Arial" w:hAnsi="Arial" w:cs="Arial"/>
          <w:sz w:val="20"/>
          <w:szCs w:val="20"/>
        </w:rPr>
        <w:t>A avaliação do material vegetal foi feita no estádio reprodutivo R3. Os parâmetros agronômicos analisados foram matéria seca de folhas (MSF), massa seca dos colmos (MSC) e massa seca das panículas (MSP).</w:t>
      </w:r>
    </w:p>
    <w:p w14:paraId="353BAAC8" w14:textId="77777777" w:rsidR="00E47FB5" w:rsidRDefault="00E47FB5" w:rsidP="00E47FB5">
      <w:pPr>
        <w:pStyle w:val="Text"/>
        <w:spacing w:line="240" w:lineRule="auto"/>
        <w:ind w:firstLine="0"/>
        <w:rPr>
          <w:rFonts w:ascii="Arial" w:hAnsi="Arial" w:cs="Arial"/>
          <w:lang w:val="pt-BR"/>
        </w:rPr>
      </w:pPr>
    </w:p>
    <w:p w14:paraId="4D13789F" w14:textId="77777777" w:rsidR="00E47FB5" w:rsidRDefault="00E47FB5" w:rsidP="00E47FB5">
      <w:pPr>
        <w:pStyle w:val="Text"/>
        <w:ind w:firstLine="0"/>
        <w:rPr>
          <w:rFonts w:ascii="Arial" w:hAnsi="Arial" w:cs="Arial"/>
          <w:b/>
          <w:lang w:val="pt-BR"/>
        </w:rPr>
      </w:pPr>
      <w:r>
        <w:rPr>
          <w:rFonts w:ascii="Arial" w:hAnsi="Arial" w:cs="Arial"/>
          <w:b/>
          <w:lang w:val="pt-BR"/>
        </w:rPr>
        <w:t>Análise estatística</w:t>
      </w:r>
    </w:p>
    <w:p w14:paraId="7F074DEA" w14:textId="77777777" w:rsidR="00E47FB5" w:rsidRDefault="00E47FB5" w:rsidP="00E47FB5">
      <w:pPr>
        <w:pStyle w:val="Text"/>
        <w:spacing w:line="240" w:lineRule="auto"/>
        <w:ind w:firstLine="284"/>
        <w:rPr>
          <w:rFonts w:ascii="Arial" w:hAnsi="Arial" w:cs="Arial"/>
          <w:lang w:val="pt-BR"/>
        </w:rPr>
      </w:pPr>
      <w:r>
        <w:rPr>
          <w:rFonts w:ascii="Arial" w:hAnsi="Arial" w:cs="Arial"/>
          <w:lang w:val="pt-BR"/>
        </w:rPr>
        <w:t>Os dados obtidos foram submetidos à análise de variância pelo teste F, e comparando-se as médias por meio do Teste de Tukey a 1% de significância. significância, utilizando-se do programa SIGMAPLOT.</w:t>
      </w:r>
    </w:p>
    <w:p w14:paraId="56450843" w14:textId="77777777" w:rsidR="00E47FB5" w:rsidRDefault="00E47FB5" w:rsidP="00E47FB5">
      <w:pPr>
        <w:pStyle w:val="Text"/>
        <w:spacing w:line="240" w:lineRule="auto"/>
        <w:ind w:firstLine="0"/>
        <w:rPr>
          <w:rFonts w:ascii="Arial" w:hAnsi="Arial" w:cs="Arial"/>
          <w:lang w:val="pt-BR"/>
        </w:rPr>
      </w:pPr>
    </w:p>
    <w:p w14:paraId="315ACEBA" w14:textId="77777777" w:rsidR="00E47FB5" w:rsidRDefault="00E47FB5" w:rsidP="00E47FB5">
      <w:pPr>
        <w:pStyle w:val="Ttulo1"/>
        <w:ind w:left="0" w:firstLine="0"/>
        <w:rPr>
          <w:rFonts w:ascii="Arial" w:hAnsi="Arial" w:cs="Arial"/>
          <w:lang w:val="pt-BR"/>
        </w:rPr>
      </w:pPr>
      <w:r>
        <w:rPr>
          <w:rFonts w:ascii="Arial" w:hAnsi="Arial" w:cs="Arial"/>
          <w:b w:val="0"/>
          <w:lang w:val="pt-BR"/>
        </w:rPr>
        <w:t>RESULTADOS E DISCUSSÃO</w:t>
      </w:r>
    </w:p>
    <w:p w14:paraId="03B98DFD" w14:textId="77777777" w:rsidR="00E47FB5" w:rsidRDefault="00E47FB5" w:rsidP="00E47FB5">
      <w:pPr>
        <w:jc w:val="both"/>
        <w:rPr>
          <w:rFonts w:ascii="Arial" w:hAnsi="Arial" w:cs="Arial"/>
          <w:lang w:val="pt-BR"/>
        </w:rPr>
      </w:pPr>
    </w:p>
    <w:p w14:paraId="0088E347" w14:textId="77777777" w:rsidR="00E47FB5" w:rsidRPr="00F8133B" w:rsidRDefault="00E47FB5" w:rsidP="00E47FB5">
      <w:pPr>
        <w:pStyle w:val="Ttulo2"/>
        <w:spacing w:before="0"/>
        <w:ind w:firstLine="284"/>
        <w:jc w:val="both"/>
        <w:rPr>
          <w:rFonts w:ascii="Arial" w:hAnsi="Arial" w:cs="Arial"/>
          <w:color w:val="auto"/>
          <w:sz w:val="22"/>
          <w:szCs w:val="22"/>
          <w:lang w:val="pt-BR"/>
        </w:rPr>
      </w:pPr>
      <w:r w:rsidRPr="00F8133B">
        <w:rPr>
          <w:rFonts w:ascii="Arial" w:hAnsi="Arial" w:cs="Arial"/>
          <w:color w:val="auto"/>
          <w:sz w:val="22"/>
          <w:szCs w:val="22"/>
          <w:lang w:val="pt-BR"/>
        </w:rPr>
        <w:t>A análise sobre o número de bactérias diazotróficas presentes nas raízes e folhas lavadas, avaliadas durante o estádio de desenvolvimento reprodutivo, mostrou a presença de bactérias diazotróficas em todos os tratamentos inoculados, porém não sendo detectadas nos tratamentos controle (não inoculados) (Tabela 1).</w:t>
      </w:r>
    </w:p>
    <w:p w14:paraId="1E83CF65" w14:textId="77777777" w:rsidR="00E47FB5" w:rsidRDefault="00E47FB5" w:rsidP="00E47FB5">
      <w:pPr>
        <w:rPr>
          <w:rFonts w:ascii="Arial" w:hAnsi="Arial" w:cs="Arial"/>
          <w:lang w:val="pt-BR"/>
        </w:rPr>
      </w:pPr>
    </w:p>
    <w:tbl>
      <w:tblPr>
        <w:tblW w:w="4893" w:type="dxa"/>
        <w:tblLook w:val="04A0" w:firstRow="1" w:lastRow="0" w:firstColumn="1" w:lastColumn="0" w:noHBand="0" w:noVBand="1"/>
      </w:tblPr>
      <w:tblGrid>
        <w:gridCol w:w="1437"/>
        <w:gridCol w:w="960"/>
        <w:gridCol w:w="1248"/>
        <w:gridCol w:w="1248"/>
      </w:tblGrid>
      <w:tr w:rsidR="00E47FB5" w14:paraId="4F35B1E9" w14:textId="77777777" w:rsidTr="00E47FB5">
        <w:tc>
          <w:tcPr>
            <w:tcW w:w="4893" w:type="dxa"/>
            <w:gridSpan w:val="4"/>
            <w:tcBorders>
              <w:top w:val="nil"/>
              <w:left w:val="nil"/>
              <w:bottom w:val="single" w:sz="4" w:space="0" w:color="auto"/>
              <w:right w:val="nil"/>
            </w:tcBorders>
            <w:vAlign w:val="center"/>
            <w:hideMark/>
          </w:tcPr>
          <w:p w14:paraId="41B81CCD" w14:textId="77777777" w:rsidR="00E47FB5" w:rsidRDefault="00E47FB5">
            <w:pPr>
              <w:pStyle w:val="Text"/>
              <w:spacing w:line="240" w:lineRule="auto"/>
              <w:ind w:left="284" w:hanging="284"/>
              <w:rPr>
                <w:rFonts w:ascii="Arial" w:hAnsi="Arial" w:cs="Arial"/>
                <w:lang w:val="pt-BR"/>
              </w:rPr>
            </w:pPr>
            <w:r>
              <w:rPr>
                <w:rFonts w:ascii="Arial" w:hAnsi="Arial" w:cs="Arial"/>
                <w:b/>
                <w:lang w:val="pt-BR"/>
              </w:rPr>
              <w:t>Tabela 1 –</w:t>
            </w:r>
            <w:r>
              <w:rPr>
                <w:rFonts w:ascii="Arial" w:hAnsi="Arial" w:cs="Arial"/>
                <w:lang w:val="pt-BR"/>
              </w:rPr>
              <w:t xml:space="preserve"> Estimativa do número mais provável (Log do nº células g</w:t>
            </w:r>
            <w:r>
              <w:rPr>
                <w:rFonts w:ascii="Arial" w:hAnsi="Arial" w:cs="Arial"/>
                <w:vertAlign w:val="superscript"/>
                <w:lang w:val="pt-BR"/>
              </w:rPr>
              <w:t>-1</w:t>
            </w:r>
            <w:r>
              <w:rPr>
                <w:rFonts w:ascii="Arial" w:hAnsi="Arial" w:cs="Arial"/>
                <w:lang w:val="pt-BR"/>
              </w:rPr>
              <w:t xml:space="preserve">) de </w:t>
            </w:r>
            <w:r>
              <w:rPr>
                <w:rFonts w:ascii="Arial" w:hAnsi="Arial" w:cs="Arial"/>
                <w:i/>
                <w:lang w:val="pt-BR"/>
              </w:rPr>
              <w:t>G. diazotrophicus</w:t>
            </w:r>
            <w:r>
              <w:rPr>
                <w:rFonts w:ascii="Arial" w:hAnsi="Arial" w:cs="Arial"/>
                <w:lang w:val="pt-BR"/>
              </w:rPr>
              <w:t xml:space="preserve"> PAL5 presentes nas raízes e folhas de plantas de arroz vermelho. Coletadas nas fases de desenvolvimento vegetativo. </w:t>
            </w:r>
          </w:p>
        </w:tc>
      </w:tr>
      <w:tr w:rsidR="00E47FB5" w14:paraId="52257A57" w14:textId="77777777" w:rsidTr="00E47FB5">
        <w:trPr>
          <w:trHeight w:val="466"/>
        </w:trPr>
        <w:tc>
          <w:tcPr>
            <w:tcW w:w="1514" w:type="dxa"/>
            <w:tcBorders>
              <w:top w:val="single" w:sz="4" w:space="0" w:color="auto"/>
              <w:left w:val="nil"/>
              <w:bottom w:val="nil"/>
              <w:right w:val="nil"/>
            </w:tcBorders>
            <w:vAlign w:val="center"/>
            <w:hideMark/>
          </w:tcPr>
          <w:p w14:paraId="59F71A19" w14:textId="77777777" w:rsidR="00E47FB5" w:rsidRDefault="00E47FB5">
            <w:pPr>
              <w:jc w:val="both"/>
              <w:rPr>
                <w:rFonts w:ascii="Arial" w:hAnsi="Arial" w:cs="Arial"/>
                <w:lang w:val="pt-BR"/>
              </w:rPr>
            </w:pPr>
            <w:r>
              <w:rPr>
                <w:rFonts w:ascii="Arial" w:hAnsi="Arial" w:cs="Arial"/>
                <w:lang w:val="pt-BR"/>
              </w:rPr>
              <w:t>Tratamento</w:t>
            </w:r>
          </w:p>
        </w:tc>
        <w:tc>
          <w:tcPr>
            <w:tcW w:w="987" w:type="dxa"/>
            <w:tcBorders>
              <w:top w:val="single" w:sz="4" w:space="0" w:color="auto"/>
              <w:left w:val="nil"/>
              <w:bottom w:val="nil"/>
              <w:right w:val="nil"/>
            </w:tcBorders>
            <w:vAlign w:val="center"/>
            <w:hideMark/>
          </w:tcPr>
          <w:p w14:paraId="77B124D8" w14:textId="77777777" w:rsidR="00E47FB5" w:rsidRDefault="00E47FB5">
            <w:pPr>
              <w:jc w:val="center"/>
              <w:rPr>
                <w:rFonts w:ascii="Arial" w:hAnsi="Arial" w:cs="Arial"/>
                <w:lang w:val="pt-BR"/>
              </w:rPr>
            </w:pPr>
            <w:r>
              <w:rPr>
                <w:rFonts w:ascii="Arial" w:hAnsi="Arial" w:cs="Arial"/>
                <w:lang w:val="pt-BR"/>
              </w:rPr>
              <w:t>Meio de Cultura</w:t>
            </w:r>
          </w:p>
        </w:tc>
        <w:tc>
          <w:tcPr>
            <w:tcW w:w="2392" w:type="dxa"/>
            <w:gridSpan w:val="2"/>
            <w:tcBorders>
              <w:top w:val="single" w:sz="4" w:space="0" w:color="auto"/>
              <w:left w:val="nil"/>
              <w:bottom w:val="nil"/>
              <w:right w:val="nil"/>
            </w:tcBorders>
            <w:vAlign w:val="center"/>
            <w:hideMark/>
          </w:tcPr>
          <w:p w14:paraId="61DF64A8" w14:textId="77777777" w:rsidR="00E47FB5" w:rsidRDefault="00E47FB5">
            <w:pPr>
              <w:jc w:val="both"/>
              <w:rPr>
                <w:rFonts w:ascii="Arial" w:hAnsi="Arial" w:cs="Arial"/>
                <w:lang w:val="pt-BR"/>
              </w:rPr>
            </w:pPr>
            <w:r>
              <w:rPr>
                <w:rFonts w:ascii="Arial" w:hAnsi="Arial" w:cs="Arial"/>
                <w:lang w:val="pt-BR"/>
              </w:rPr>
              <w:t>Reprodutivo</w:t>
            </w:r>
          </w:p>
        </w:tc>
      </w:tr>
      <w:tr w:rsidR="00E47FB5" w14:paraId="0679F655" w14:textId="77777777" w:rsidTr="00E47FB5">
        <w:tc>
          <w:tcPr>
            <w:tcW w:w="1514" w:type="dxa"/>
            <w:tcBorders>
              <w:top w:val="single" w:sz="4" w:space="0" w:color="auto"/>
              <w:left w:val="nil"/>
              <w:bottom w:val="nil"/>
              <w:right w:val="nil"/>
            </w:tcBorders>
          </w:tcPr>
          <w:p w14:paraId="02D3385F" w14:textId="77777777" w:rsidR="00E47FB5" w:rsidRDefault="00E47FB5">
            <w:pPr>
              <w:jc w:val="both"/>
              <w:rPr>
                <w:rFonts w:ascii="Arial" w:hAnsi="Arial" w:cs="Arial"/>
                <w:lang w:val="pt-BR"/>
              </w:rPr>
            </w:pPr>
          </w:p>
        </w:tc>
        <w:tc>
          <w:tcPr>
            <w:tcW w:w="987" w:type="dxa"/>
            <w:vMerge w:val="restart"/>
            <w:tcBorders>
              <w:top w:val="single" w:sz="4" w:space="0" w:color="auto"/>
              <w:left w:val="nil"/>
              <w:bottom w:val="single" w:sz="4" w:space="0" w:color="auto"/>
              <w:right w:val="nil"/>
            </w:tcBorders>
            <w:vAlign w:val="center"/>
            <w:hideMark/>
          </w:tcPr>
          <w:p w14:paraId="7C26430A" w14:textId="77777777" w:rsidR="00E47FB5" w:rsidRDefault="00E47FB5">
            <w:pPr>
              <w:jc w:val="center"/>
              <w:rPr>
                <w:rFonts w:ascii="Arial" w:hAnsi="Arial" w:cs="Arial"/>
                <w:lang w:val="pt-BR"/>
              </w:rPr>
            </w:pPr>
            <w:r>
              <w:rPr>
                <w:rFonts w:ascii="Arial" w:hAnsi="Arial" w:cs="Arial"/>
                <w:lang w:val="pt-BR"/>
              </w:rPr>
              <w:t>LGI-P**</w:t>
            </w:r>
          </w:p>
        </w:tc>
        <w:tc>
          <w:tcPr>
            <w:tcW w:w="1155" w:type="dxa"/>
            <w:tcBorders>
              <w:top w:val="single" w:sz="4" w:space="0" w:color="auto"/>
              <w:left w:val="nil"/>
              <w:bottom w:val="nil"/>
              <w:right w:val="nil"/>
            </w:tcBorders>
            <w:hideMark/>
          </w:tcPr>
          <w:p w14:paraId="62E6CF1E" w14:textId="77777777" w:rsidR="00E47FB5" w:rsidRDefault="00E47FB5">
            <w:pPr>
              <w:jc w:val="both"/>
              <w:rPr>
                <w:rFonts w:ascii="Arial" w:hAnsi="Arial" w:cs="Arial"/>
                <w:lang w:val="pt-BR"/>
              </w:rPr>
            </w:pPr>
            <w:r>
              <w:rPr>
                <w:rFonts w:ascii="Arial" w:hAnsi="Arial" w:cs="Arial"/>
                <w:lang w:val="pt-BR"/>
              </w:rPr>
              <w:t>Raízes</w:t>
            </w:r>
          </w:p>
        </w:tc>
        <w:tc>
          <w:tcPr>
            <w:tcW w:w="1237" w:type="dxa"/>
            <w:tcBorders>
              <w:top w:val="single" w:sz="4" w:space="0" w:color="auto"/>
              <w:left w:val="nil"/>
              <w:bottom w:val="nil"/>
              <w:right w:val="nil"/>
            </w:tcBorders>
            <w:hideMark/>
          </w:tcPr>
          <w:p w14:paraId="4BA4A5D0" w14:textId="77777777" w:rsidR="00E47FB5" w:rsidRDefault="00E47FB5">
            <w:pPr>
              <w:jc w:val="both"/>
              <w:rPr>
                <w:rFonts w:ascii="Arial" w:hAnsi="Arial" w:cs="Arial"/>
                <w:lang w:val="pt-BR"/>
              </w:rPr>
            </w:pPr>
            <w:r>
              <w:rPr>
                <w:rFonts w:ascii="Arial" w:hAnsi="Arial" w:cs="Arial"/>
                <w:lang w:val="pt-BR"/>
              </w:rPr>
              <w:t>Folhas</w:t>
            </w:r>
          </w:p>
        </w:tc>
      </w:tr>
      <w:tr w:rsidR="00E47FB5" w14:paraId="45D47374" w14:textId="77777777" w:rsidTr="00E47FB5">
        <w:tc>
          <w:tcPr>
            <w:tcW w:w="1514" w:type="dxa"/>
            <w:hideMark/>
          </w:tcPr>
          <w:p w14:paraId="0FEBBF39" w14:textId="77777777" w:rsidR="00E47FB5" w:rsidRDefault="00E47FB5">
            <w:pPr>
              <w:jc w:val="both"/>
              <w:rPr>
                <w:rFonts w:ascii="Arial" w:hAnsi="Arial" w:cs="Arial"/>
                <w:lang w:val="pt-BR"/>
              </w:rPr>
            </w:pPr>
            <w:r>
              <w:rPr>
                <w:rFonts w:ascii="Arial" w:hAnsi="Arial" w:cs="Arial"/>
                <w:lang w:val="pt-BR"/>
              </w:rPr>
              <w:t>Não Inoculado</w:t>
            </w:r>
          </w:p>
        </w:tc>
        <w:tc>
          <w:tcPr>
            <w:tcW w:w="0" w:type="auto"/>
            <w:vMerge/>
            <w:tcBorders>
              <w:top w:val="single" w:sz="4" w:space="0" w:color="auto"/>
              <w:left w:val="nil"/>
              <w:bottom w:val="single" w:sz="4" w:space="0" w:color="auto"/>
              <w:right w:val="nil"/>
            </w:tcBorders>
            <w:vAlign w:val="center"/>
            <w:hideMark/>
          </w:tcPr>
          <w:p w14:paraId="6213A4DA" w14:textId="77777777" w:rsidR="00E47FB5" w:rsidRDefault="00E47FB5">
            <w:pPr>
              <w:autoSpaceDE/>
              <w:autoSpaceDN/>
              <w:rPr>
                <w:rFonts w:ascii="Arial" w:hAnsi="Arial" w:cs="Arial"/>
                <w:lang w:val="pt-BR"/>
              </w:rPr>
            </w:pPr>
          </w:p>
        </w:tc>
        <w:tc>
          <w:tcPr>
            <w:tcW w:w="1155" w:type="dxa"/>
            <w:hideMark/>
          </w:tcPr>
          <w:p w14:paraId="26A83369" w14:textId="77777777" w:rsidR="00E47FB5" w:rsidRDefault="00E47FB5">
            <w:pPr>
              <w:jc w:val="both"/>
              <w:rPr>
                <w:rFonts w:ascii="Arial" w:hAnsi="Arial" w:cs="Arial"/>
                <w:lang w:val="pt-BR"/>
              </w:rPr>
            </w:pPr>
            <w:r>
              <w:rPr>
                <w:rFonts w:ascii="Arial" w:hAnsi="Arial" w:cs="Arial"/>
                <w:lang w:val="pt-BR"/>
              </w:rPr>
              <w:t>N.D.</w:t>
            </w:r>
          </w:p>
        </w:tc>
        <w:tc>
          <w:tcPr>
            <w:tcW w:w="1237" w:type="dxa"/>
            <w:hideMark/>
          </w:tcPr>
          <w:p w14:paraId="1DC9126C" w14:textId="77777777" w:rsidR="00E47FB5" w:rsidRDefault="00E47FB5">
            <w:pPr>
              <w:jc w:val="both"/>
              <w:rPr>
                <w:rFonts w:ascii="Arial" w:hAnsi="Arial" w:cs="Arial"/>
                <w:lang w:val="pt-BR"/>
              </w:rPr>
            </w:pPr>
            <w:r>
              <w:rPr>
                <w:rFonts w:ascii="Arial" w:hAnsi="Arial" w:cs="Arial"/>
                <w:lang w:val="pt-BR"/>
              </w:rPr>
              <w:t>N.D.</w:t>
            </w:r>
          </w:p>
        </w:tc>
      </w:tr>
      <w:tr w:rsidR="00E47FB5" w14:paraId="13F71F52" w14:textId="77777777" w:rsidTr="00E47FB5">
        <w:tc>
          <w:tcPr>
            <w:tcW w:w="1514" w:type="dxa"/>
            <w:tcBorders>
              <w:top w:val="nil"/>
              <w:left w:val="nil"/>
              <w:bottom w:val="single" w:sz="4" w:space="0" w:color="auto"/>
              <w:right w:val="nil"/>
            </w:tcBorders>
            <w:hideMark/>
          </w:tcPr>
          <w:p w14:paraId="025E0827" w14:textId="77777777" w:rsidR="00E47FB5" w:rsidRDefault="00E47FB5">
            <w:pPr>
              <w:jc w:val="both"/>
              <w:rPr>
                <w:rFonts w:ascii="Arial" w:hAnsi="Arial" w:cs="Arial"/>
                <w:lang w:val="pt-BR"/>
              </w:rPr>
            </w:pPr>
            <w:r>
              <w:rPr>
                <w:rFonts w:ascii="Arial" w:hAnsi="Arial" w:cs="Arial"/>
                <w:lang w:val="pt-BR"/>
              </w:rPr>
              <w:t>PAL5</w:t>
            </w:r>
          </w:p>
        </w:tc>
        <w:tc>
          <w:tcPr>
            <w:tcW w:w="0" w:type="auto"/>
            <w:vMerge/>
            <w:tcBorders>
              <w:top w:val="single" w:sz="4" w:space="0" w:color="auto"/>
              <w:left w:val="nil"/>
              <w:bottom w:val="single" w:sz="4" w:space="0" w:color="auto"/>
              <w:right w:val="nil"/>
            </w:tcBorders>
            <w:vAlign w:val="center"/>
            <w:hideMark/>
          </w:tcPr>
          <w:p w14:paraId="6C6B7FEE" w14:textId="77777777" w:rsidR="00E47FB5" w:rsidRDefault="00E47FB5">
            <w:pPr>
              <w:autoSpaceDE/>
              <w:autoSpaceDN/>
              <w:rPr>
                <w:rFonts w:ascii="Arial" w:hAnsi="Arial" w:cs="Arial"/>
                <w:lang w:val="pt-BR"/>
              </w:rPr>
            </w:pPr>
          </w:p>
        </w:tc>
        <w:tc>
          <w:tcPr>
            <w:tcW w:w="1155" w:type="dxa"/>
            <w:tcBorders>
              <w:top w:val="nil"/>
              <w:left w:val="nil"/>
              <w:bottom w:val="single" w:sz="4" w:space="0" w:color="auto"/>
              <w:right w:val="nil"/>
            </w:tcBorders>
            <w:hideMark/>
          </w:tcPr>
          <w:p w14:paraId="7317BD67" w14:textId="77777777" w:rsidR="00E47FB5" w:rsidRDefault="00E47FB5">
            <w:pPr>
              <w:jc w:val="both"/>
              <w:rPr>
                <w:rFonts w:ascii="Arial" w:hAnsi="Arial" w:cs="Arial"/>
                <w:lang w:val="pt-BR"/>
              </w:rPr>
            </w:pPr>
            <w:r>
              <w:rPr>
                <w:rFonts w:ascii="Arial" w:hAnsi="Arial" w:cs="Arial"/>
                <w:color w:val="000000"/>
                <w:lang w:eastAsia="es-CO"/>
              </w:rPr>
              <w:t>5.44±0.24</w:t>
            </w:r>
            <w:r>
              <w:rPr>
                <w:rFonts w:ascii="Arial" w:hAnsi="Arial" w:cs="Arial"/>
                <w:color w:val="000000"/>
                <w:vertAlign w:val="superscript"/>
                <w:lang w:eastAsia="es-CO"/>
              </w:rPr>
              <w:t>*</w:t>
            </w:r>
          </w:p>
        </w:tc>
        <w:tc>
          <w:tcPr>
            <w:tcW w:w="1237" w:type="dxa"/>
            <w:tcBorders>
              <w:top w:val="nil"/>
              <w:left w:val="nil"/>
              <w:bottom w:val="single" w:sz="4" w:space="0" w:color="auto"/>
              <w:right w:val="nil"/>
            </w:tcBorders>
            <w:hideMark/>
          </w:tcPr>
          <w:p w14:paraId="70CA1792" w14:textId="77777777" w:rsidR="00E47FB5" w:rsidRDefault="00E47FB5">
            <w:pPr>
              <w:jc w:val="both"/>
              <w:rPr>
                <w:rFonts w:ascii="Arial" w:hAnsi="Arial" w:cs="Arial"/>
                <w:lang w:val="pt-BR"/>
              </w:rPr>
            </w:pPr>
            <w:r>
              <w:rPr>
                <w:rFonts w:ascii="Arial" w:hAnsi="Arial" w:cs="Arial"/>
                <w:color w:val="000000"/>
                <w:lang w:eastAsia="es-CO"/>
              </w:rPr>
              <w:t>5.36±0.34</w:t>
            </w:r>
            <w:r>
              <w:rPr>
                <w:rFonts w:ascii="Arial" w:hAnsi="Arial" w:cs="Arial"/>
                <w:color w:val="000000"/>
                <w:vertAlign w:val="superscript"/>
                <w:lang w:eastAsia="es-CO"/>
              </w:rPr>
              <w:t>*</w:t>
            </w:r>
          </w:p>
        </w:tc>
      </w:tr>
      <w:tr w:rsidR="00E47FB5" w14:paraId="6C85D5A0" w14:textId="77777777" w:rsidTr="00E47FB5">
        <w:trPr>
          <w:trHeight w:val="451"/>
        </w:trPr>
        <w:tc>
          <w:tcPr>
            <w:tcW w:w="4893" w:type="dxa"/>
            <w:gridSpan w:val="4"/>
            <w:tcBorders>
              <w:top w:val="single" w:sz="4" w:space="0" w:color="auto"/>
              <w:left w:val="nil"/>
              <w:bottom w:val="nil"/>
              <w:right w:val="nil"/>
            </w:tcBorders>
            <w:hideMark/>
          </w:tcPr>
          <w:p w14:paraId="0A795A32" w14:textId="77777777" w:rsidR="00E47FB5" w:rsidRDefault="00E47FB5">
            <w:pPr>
              <w:jc w:val="both"/>
              <w:rPr>
                <w:rFonts w:ascii="Arial" w:hAnsi="Arial" w:cs="Arial"/>
                <w:lang w:val="pt-BR"/>
              </w:rPr>
            </w:pPr>
            <w:r>
              <w:rPr>
                <w:rFonts w:ascii="Arial" w:hAnsi="Arial" w:cs="Arial"/>
                <w:bCs/>
                <w:vertAlign w:val="superscript"/>
                <w:lang w:val="pt-BR"/>
              </w:rPr>
              <w:t>*Média ± desvio padrão (n=3), **Meio LGI-P (semi seletivo para Gluconacetobacter spp.). N.D. (Não detectada).</w:t>
            </w:r>
          </w:p>
        </w:tc>
      </w:tr>
    </w:tbl>
    <w:p w14:paraId="6561546F" w14:textId="77777777" w:rsidR="00E47FB5" w:rsidRDefault="00E47FB5" w:rsidP="00E47FB5">
      <w:pPr>
        <w:pStyle w:val="Text"/>
        <w:spacing w:line="240" w:lineRule="auto"/>
        <w:ind w:firstLine="284"/>
        <w:rPr>
          <w:rFonts w:ascii="Arial" w:hAnsi="Arial" w:cs="Arial"/>
          <w:b/>
          <w:lang w:val="pt-BR"/>
        </w:rPr>
      </w:pPr>
    </w:p>
    <w:p w14:paraId="61F10329" w14:textId="77777777" w:rsidR="00E47FB5" w:rsidRDefault="00E47FB5" w:rsidP="00E47FB5">
      <w:pPr>
        <w:pStyle w:val="Default"/>
        <w:snapToGrid w:val="0"/>
        <w:ind w:firstLine="284"/>
        <w:jc w:val="both"/>
        <w:rPr>
          <w:rFonts w:ascii="Arial" w:hAnsi="Arial" w:cs="Arial"/>
          <w:color w:val="auto"/>
          <w:sz w:val="20"/>
          <w:szCs w:val="20"/>
        </w:rPr>
      </w:pPr>
      <w:r>
        <w:rPr>
          <w:rFonts w:ascii="Arial" w:hAnsi="Arial" w:cs="Arial"/>
          <w:color w:val="auto"/>
          <w:sz w:val="20"/>
          <w:szCs w:val="20"/>
        </w:rPr>
        <w:t xml:space="preserve">Foi constatado diferença significativa para as variáveis massa seca das folhas (MSF); massa seca dos colmos (MSC); massa seca das panículas (MSP), quando analisados a 1% de probabilidade. </w:t>
      </w:r>
    </w:p>
    <w:p w14:paraId="761317C1" w14:textId="77777777" w:rsidR="00E47FB5" w:rsidRDefault="00E47FB5" w:rsidP="00E47FB5">
      <w:pPr>
        <w:ind w:firstLine="284"/>
        <w:jc w:val="both"/>
        <w:outlineLvl w:val="1"/>
        <w:rPr>
          <w:rFonts w:ascii="Arial" w:hAnsi="Arial" w:cs="Arial"/>
          <w:iCs/>
          <w:sz w:val="20"/>
          <w:szCs w:val="20"/>
          <w:lang w:val="pt-BR"/>
        </w:rPr>
      </w:pPr>
      <w:r>
        <w:rPr>
          <w:rFonts w:ascii="Arial" w:hAnsi="Arial" w:cs="Arial"/>
          <w:lang w:val="pt-BR"/>
        </w:rPr>
        <w:t xml:space="preserve">Quando avaliado a Massa Seca das panículas (MSP), Colmos (MSC) e Folhas (MSF) (Figura 1), em arroz vermelho 405 EMBRAPA MEIO-NORTE inoculado com </w:t>
      </w:r>
      <w:r>
        <w:rPr>
          <w:rFonts w:ascii="Arial" w:hAnsi="Arial" w:cs="Arial"/>
          <w:i/>
          <w:iCs/>
          <w:lang w:val="pt-BR"/>
        </w:rPr>
        <w:t xml:space="preserve">G. diazotrophicus </w:t>
      </w:r>
      <w:r>
        <w:rPr>
          <w:rFonts w:ascii="Arial" w:hAnsi="Arial" w:cs="Arial"/>
          <w:lang w:val="pt-BR"/>
        </w:rPr>
        <w:t>verifica-se também que houve efeito significativo pelo Teste de Tukey a 1% de probabilidade, aos tratamentos com e sem inoculação. Analisando-se ainda a figura 1 observa-se que as plantas inoculadas obteveram um maior acúmulo de matéria seca, tanto de panículas, colmos e folhas, com um incremento de 76,2 %, 60,9% e 58,3%, respectivamente, comparando com as plantas sem a presença da bactéria</w:t>
      </w:r>
      <w:r>
        <w:rPr>
          <w:rFonts w:ascii="Arial" w:hAnsi="Arial" w:cs="Arial"/>
          <w:i/>
          <w:iCs/>
          <w:lang w:val="pt-BR"/>
        </w:rPr>
        <w:t xml:space="preserve">. </w:t>
      </w:r>
    </w:p>
    <w:p w14:paraId="55833B7A" w14:textId="77777777" w:rsidR="00E47FB5" w:rsidRDefault="00E47FB5" w:rsidP="00E47FB5">
      <w:pPr>
        <w:ind w:firstLine="284"/>
        <w:jc w:val="both"/>
        <w:outlineLvl w:val="1"/>
        <w:rPr>
          <w:rFonts w:ascii="Arial" w:hAnsi="Arial" w:cs="Arial"/>
          <w:lang w:val="pt-BR"/>
        </w:rPr>
      </w:pPr>
      <w:r>
        <w:rPr>
          <w:rFonts w:ascii="Arial" w:hAnsi="Arial" w:cs="Arial"/>
          <w:lang w:val="pt-BR"/>
        </w:rPr>
        <w:t xml:space="preserve">Resultados semelhantes foram encontrados por Curá et al., (2005), analisando efeitos positivos de inoculação de </w:t>
      </w:r>
      <w:r>
        <w:rPr>
          <w:rFonts w:ascii="Arial" w:hAnsi="Arial" w:cs="Arial"/>
          <w:i/>
          <w:iCs/>
          <w:lang w:val="pt-BR"/>
        </w:rPr>
        <w:t xml:space="preserve">A. brasilense </w:t>
      </w:r>
      <w:r>
        <w:rPr>
          <w:rFonts w:ascii="Arial" w:hAnsi="Arial" w:cs="Arial"/>
          <w:lang w:val="pt-BR"/>
        </w:rPr>
        <w:t>sobre a massa seca de plântulas de arroz, aos 20 dias. Alguns trabalhos têm mostrado resultados bastante promissores, principalmente no incremento de massa seca em plantas de arroz, provenientes da inoculação com H. seropedicae (FERREIRA et al., 2010; GUIMARÃES et al., 2010).</w:t>
      </w:r>
    </w:p>
    <w:p w14:paraId="268D949C" w14:textId="77777777" w:rsidR="00E47FB5" w:rsidRPr="00F8133B" w:rsidRDefault="00E47FB5" w:rsidP="00E47FB5">
      <w:pPr>
        <w:pStyle w:val="Ttulo2"/>
        <w:spacing w:before="0"/>
        <w:rPr>
          <w:rFonts w:ascii="Arial" w:hAnsi="Arial" w:cs="Arial"/>
          <w:b/>
          <w:color w:val="auto"/>
          <w:lang w:val="pt-BR"/>
        </w:rPr>
      </w:pPr>
    </w:p>
    <w:p w14:paraId="208ADD9F" w14:textId="77777777" w:rsidR="00E47FB5" w:rsidRDefault="00E47FB5" w:rsidP="00E47FB5">
      <w:pPr>
        <w:pStyle w:val="Ttulo1"/>
        <w:ind w:left="0" w:firstLine="0"/>
        <w:rPr>
          <w:rFonts w:ascii="Arial" w:hAnsi="Arial" w:cs="Arial"/>
          <w:b w:val="0"/>
          <w:lang w:val="pt-BR"/>
        </w:rPr>
      </w:pPr>
      <w:r>
        <w:rPr>
          <w:rFonts w:ascii="Arial" w:hAnsi="Arial" w:cs="Arial"/>
          <w:b w:val="0"/>
          <w:lang w:val="pt-BR"/>
        </w:rPr>
        <w:t>CONCLUSÕES</w:t>
      </w:r>
    </w:p>
    <w:p w14:paraId="0A64D20A" w14:textId="77777777" w:rsidR="00E47FB5" w:rsidRDefault="00E47FB5" w:rsidP="00E47FB5">
      <w:pPr>
        <w:rPr>
          <w:rFonts w:ascii="Arial" w:hAnsi="Arial" w:cs="Arial"/>
          <w:lang w:val="pt-BR"/>
        </w:rPr>
      </w:pPr>
    </w:p>
    <w:p w14:paraId="58DA82BA" w14:textId="77777777" w:rsidR="00E47FB5" w:rsidRDefault="00E47FB5" w:rsidP="00E47FB5">
      <w:pPr>
        <w:ind w:firstLine="284"/>
        <w:jc w:val="both"/>
        <w:rPr>
          <w:rFonts w:ascii="Arial" w:hAnsi="Arial" w:cs="Arial"/>
          <w:lang w:val="pt-BR"/>
        </w:rPr>
      </w:pPr>
      <w:r>
        <w:rPr>
          <w:rFonts w:ascii="Arial" w:hAnsi="Arial" w:cs="Arial"/>
          <w:lang w:val="pt-BR"/>
        </w:rPr>
        <w:t xml:space="preserve">A inoculação da bactéria </w:t>
      </w:r>
      <w:r>
        <w:rPr>
          <w:rFonts w:ascii="Arial" w:hAnsi="Arial" w:cs="Arial"/>
          <w:i/>
          <w:iCs/>
          <w:lang w:val="pt-BR"/>
        </w:rPr>
        <w:t xml:space="preserve">G. diazotrophicus </w:t>
      </w:r>
      <w:r>
        <w:rPr>
          <w:rFonts w:ascii="Arial" w:hAnsi="Arial" w:cs="Arial"/>
          <w:lang w:val="pt-BR"/>
        </w:rPr>
        <w:t>PAL5 demonstrou eficiência no combate ao estresse hídrico, constituindo-se como uma alternativa promissora no combate à esse tipo de estresse abiótico.</w:t>
      </w:r>
    </w:p>
    <w:p w14:paraId="51D60325" w14:textId="77777777" w:rsidR="00E47FB5" w:rsidRDefault="00E47FB5" w:rsidP="00E47FB5">
      <w:pPr>
        <w:ind w:firstLine="284"/>
        <w:jc w:val="both"/>
        <w:rPr>
          <w:rFonts w:ascii="Arial" w:hAnsi="Arial" w:cs="Arial"/>
          <w:lang w:val="pt-BR"/>
        </w:rPr>
      </w:pPr>
      <w:r>
        <w:rPr>
          <w:rFonts w:ascii="Arial" w:hAnsi="Arial" w:cs="Arial"/>
          <w:lang w:val="pt-BR"/>
        </w:rPr>
        <w:lastRenderedPageBreak/>
        <w:t xml:space="preserve">A inoculação da bactéria </w:t>
      </w:r>
      <w:r>
        <w:rPr>
          <w:rFonts w:ascii="Arial" w:hAnsi="Arial" w:cs="Arial"/>
          <w:i/>
          <w:iCs/>
          <w:lang w:val="pt-BR"/>
        </w:rPr>
        <w:t xml:space="preserve">G. diazotrophicus </w:t>
      </w:r>
      <w:r>
        <w:rPr>
          <w:rFonts w:ascii="Arial" w:hAnsi="Arial" w:cs="Arial"/>
          <w:lang w:val="pt-BR"/>
        </w:rPr>
        <w:t>PAL5 resultou em maior produção de massa seca em plantas de arroz vermelho, sendo um bom parâmetro para avaliar os efeitos do tratamento em questão.</w:t>
      </w:r>
    </w:p>
    <w:p w14:paraId="1A4379A9" w14:textId="77777777" w:rsidR="00E47FB5" w:rsidRDefault="00E47FB5" w:rsidP="00E47FB5">
      <w:pPr>
        <w:jc w:val="both"/>
        <w:rPr>
          <w:rFonts w:ascii="Arial" w:hAnsi="Arial" w:cs="Arial"/>
          <w:lang w:val="pt-BR"/>
        </w:rPr>
      </w:pPr>
    </w:p>
    <w:p w14:paraId="299F0C5B" w14:textId="77777777" w:rsidR="00E47FB5" w:rsidRDefault="00E47FB5" w:rsidP="00E47FB5">
      <w:pPr>
        <w:pStyle w:val="ReferenceHead"/>
        <w:spacing w:before="0" w:after="0"/>
        <w:rPr>
          <w:rFonts w:ascii="Arial" w:hAnsi="Arial" w:cs="Arial"/>
          <w:b/>
          <w:lang w:val="pt-BR"/>
        </w:rPr>
      </w:pPr>
      <w:r>
        <w:rPr>
          <w:rFonts w:ascii="Arial" w:hAnsi="Arial" w:cs="Arial"/>
          <w:b/>
          <w:lang w:val="pt-BR"/>
        </w:rPr>
        <w:t>AGRADECIMENTOS</w:t>
      </w:r>
    </w:p>
    <w:p w14:paraId="55A9CF3B" w14:textId="77777777" w:rsidR="00E47FB5" w:rsidRDefault="00E47FB5" w:rsidP="00E47FB5">
      <w:pPr>
        <w:pStyle w:val="ReferenceHead"/>
        <w:spacing w:before="0" w:after="0"/>
        <w:rPr>
          <w:rFonts w:ascii="Arial" w:hAnsi="Arial" w:cs="Arial"/>
          <w:b/>
          <w:lang w:val="pt-BR"/>
        </w:rPr>
      </w:pPr>
    </w:p>
    <w:p w14:paraId="6E7FF1E8" w14:textId="77777777" w:rsidR="00E47FB5" w:rsidRDefault="00E47FB5" w:rsidP="00E47FB5">
      <w:pPr>
        <w:jc w:val="both"/>
        <w:rPr>
          <w:rFonts w:ascii="Arial" w:hAnsi="Arial" w:cs="Arial"/>
          <w:lang w:val="pt-BR"/>
        </w:rPr>
      </w:pPr>
      <w:r>
        <w:rPr>
          <w:rFonts w:ascii="Arial" w:hAnsi="Arial" w:cs="Arial"/>
          <w:lang w:val="pt-BR"/>
        </w:rPr>
        <w:t xml:space="preserve">“O presente trabalho foi realizado com apoio do CNPq, Conselho Nacional de Desenvolvimento Científico e Tecnológico – Brasil”. </w:t>
      </w:r>
      <w:r>
        <w:rPr>
          <w:rFonts w:ascii="Arial" w:hAnsi="Arial" w:cs="Arial"/>
          <w:b/>
          <w:color w:val="FF0000"/>
          <w:lang w:val="pt-BR"/>
        </w:rPr>
        <w:t>Deverá obrigatoriamente ser mencionado o programa no qual o projeto foi desenvolvido (Ex: PIBIC/CNPq-UEPB, PIVIC/UEPB, PIBITI/CNPq-UEPB, PIBIC-Af/CNPQ-UEPB, PIBIC_Af/FAPESQ-UEPB etc.).</w:t>
      </w:r>
    </w:p>
    <w:p w14:paraId="3D704B91" w14:textId="77777777" w:rsidR="00E47FB5" w:rsidRDefault="00E47FB5" w:rsidP="00E47FB5">
      <w:pPr>
        <w:jc w:val="both"/>
        <w:rPr>
          <w:rFonts w:ascii="Arial" w:hAnsi="Arial" w:cs="Arial"/>
          <w:lang w:val="pt-BR"/>
        </w:rPr>
      </w:pPr>
    </w:p>
    <w:p w14:paraId="180FBDF0" w14:textId="77777777" w:rsidR="00E47FB5" w:rsidRDefault="00E47FB5" w:rsidP="00E47FB5">
      <w:pPr>
        <w:pStyle w:val="ReferenceHead"/>
        <w:spacing w:before="0" w:after="0"/>
        <w:rPr>
          <w:rFonts w:ascii="Arial" w:hAnsi="Arial" w:cs="Arial"/>
          <w:b/>
          <w:lang w:val="pt-BR"/>
        </w:rPr>
      </w:pPr>
      <w:r>
        <w:rPr>
          <w:rFonts w:ascii="Arial" w:hAnsi="Arial" w:cs="Arial"/>
          <w:b/>
          <w:lang w:val="pt-BR"/>
        </w:rPr>
        <w:t>REFERÊNCIAS</w:t>
      </w:r>
    </w:p>
    <w:p w14:paraId="2EF665DF" w14:textId="77777777" w:rsidR="00E47FB5" w:rsidRDefault="00E47FB5" w:rsidP="00E47FB5">
      <w:pPr>
        <w:pStyle w:val="ReferenceHead"/>
        <w:spacing w:before="0" w:after="0"/>
        <w:rPr>
          <w:rFonts w:ascii="Arial" w:hAnsi="Arial" w:cs="Arial"/>
          <w:b/>
          <w:lang w:val="pt-BR"/>
        </w:rPr>
      </w:pPr>
    </w:p>
    <w:p w14:paraId="3DAEF301" w14:textId="77777777" w:rsidR="00E47FB5" w:rsidRDefault="00E47FB5" w:rsidP="00E47FB5">
      <w:pPr>
        <w:adjustRightInd w:val="0"/>
        <w:ind w:right="57" w:firstLine="708"/>
        <w:jc w:val="both"/>
        <w:rPr>
          <w:rFonts w:ascii="Arial" w:hAnsi="Arial" w:cs="Arial"/>
          <w:color w:val="000000"/>
          <w:sz w:val="18"/>
          <w:szCs w:val="18"/>
          <w:lang w:val="pt-BR"/>
        </w:rPr>
      </w:pPr>
    </w:p>
    <w:p w14:paraId="7BAD42C7" w14:textId="77777777" w:rsidR="00E47FB5" w:rsidRDefault="00E47FB5" w:rsidP="00E47FB5">
      <w:pPr>
        <w:jc w:val="both"/>
        <w:rPr>
          <w:rFonts w:ascii="Arial" w:hAnsi="Arial" w:cs="Arial"/>
          <w:sz w:val="20"/>
          <w:szCs w:val="20"/>
          <w:lang w:val="pt-BR"/>
        </w:rPr>
      </w:pPr>
      <w:r>
        <w:rPr>
          <w:rFonts w:ascii="Arial" w:hAnsi="Arial" w:cs="Arial"/>
          <w:lang w:val="pt-BR"/>
        </w:rPr>
        <w:t xml:space="preserve">BOÊNO, J. A.; ASCHERI, D. P. R.; BASSINELLO, P. Z. Qualidade tecnológica de grãos de quatro genótipos de arroz-vermelho. </w:t>
      </w:r>
      <w:r>
        <w:rPr>
          <w:rFonts w:ascii="Arial" w:hAnsi="Arial" w:cs="Arial"/>
          <w:b/>
          <w:lang w:val="pt-BR"/>
        </w:rPr>
        <w:t>Revista Brasileira de Engenharia Agrícola e Ambiental</w:t>
      </w:r>
      <w:r>
        <w:rPr>
          <w:rFonts w:ascii="Arial" w:hAnsi="Arial" w:cs="Arial"/>
          <w:lang w:val="pt-BR"/>
        </w:rPr>
        <w:t>, Campina Grande, v.15, n.7, p.718-723, 2011.</w:t>
      </w:r>
    </w:p>
    <w:p w14:paraId="40E7CF31" w14:textId="77777777" w:rsidR="00E47FB5" w:rsidRDefault="00E47FB5" w:rsidP="00E47FB5">
      <w:pPr>
        <w:jc w:val="both"/>
        <w:rPr>
          <w:rFonts w:ascii="Arial" w:hAnsi="Arial" w:cs="Arial"/>
          <w:lang w:val="pt-BR"/>
        </w:rPr>
      </w:pPr>
    </w:p>
    <w:p w14:paraId="1804713B" w14:textId="77777777" w:rsidR="00E47FB5" w:rsidRDefault="00E47FB5" w:rsidP="00E47FB5">
      <w:pPr>
        <w:jc w:val="both"/>
        <w:rPr>
          <w:rFonts w:ascii="Arial" w:hAnsi="Arial" w:cs="Arial"/>
          <w:lang w:val="en-US"/>
        </w:rPr>
      </w:pPr>
      <w:r>
        <w:rPr>
          <w:rFonts w:ascii="Arial" w:hAnsi="Arial" w:cs="Arial"/>
          <w:lang w:val="pt-BR"/>
        </w:rPr>
        <w:t xml:space="preserve">BENINCASA M. M. P.; LEITE; I. C. </w:t>
      </w:r>
      <w:r>
        <w:rPr>
          <w:rFonts w:ascii="Arial" w:hAnsi="Arial" w:cs="Arial"/>
          <w:b/>
          <w:bCs/>
          <w:lang w:val="pt-BR"/>
        </w:rPr>
        <w:t>Fisiologia vegetal</w:t>
      </w:r>
      <w:r>
        <w:rPr>
          <w:rFonts w:ascii="Arial" w:hAnsi="Arial" w:cs="Arial"/>
          <w:i/>
          <w:iCs/>
          <w:lang w:val="pt-BR"/>
        </w:rPr>
        <w:t xml:space="preserve">. </w:t>
      </w:r>
      <w:r>
        <w:rPr>
          <w:rFonts w:ascii="Arial" w:hAnsi="Arial" w:cs="Arial"/>
        </w:rPr>
        <w:t>Jaboticabal: Funep, 169p, 2004.</w:t>
      </w:r>
    </w:p>
    <w:p w14:paraId="7D78A385" w14:textId="77777777" w:rsidR="00E47FB5" w:rsidRDefault="00E47FB5" w:rsidP="00E47FB5">
      <w:pPr>
        <w:jc w:val="both"/>
        <w:rPr>
          <w:rFonts w:ascii="Arial" w:hAnsi="Arial" w:cs="Arial"/>
        </w:rPr>
      </w:pPr>
    </w:p>
    <w:p w14:paraId="18262346" w14:textId="77777777" w:rsidR="00E47FB5" w:rsidRDefault="00E47FB5" w:rsidP="00E47FB5">
      <w:pPr>
        <w:pStyle w:val="Default"/>
        <w:jc w:val="both"/>
        <w:rPr>
          <w:rFonts w:ascii="Arial" w:hAnsi="Arial" w:cs="Arial"/>
          <w:sz w:val="20"/>
          <w:szCs w:val="20"/>
        </w:rPr>
      </w:pPr>
      <w:r>
        <w:rPr>
          <w:rFonts w:ascii="Arial" w:hAnsi="Arial" w:cs="Arial"/>
          <w:sz w:val="20"/>
          <w:szCs w:val="20"/>
        </w:rPr>
        <w:t xml:space="preserve">CURÁ, J.A.; RIBAUDO, C.M.; GAETANO, A.M.; GHIGLIONE, H.O. Utilidad de las bacterias promotoras del crecimiento y fijadoras de nitrógeno en el cultivo del arroz durante las primeras etapas de desarrollo. </w:t>
      </w:r>
      <w:r>
        <w:rPr>
          <w:rFonts w:ascii="Arial" w:hAnsi="Arial" w:cs="Arial"/>
          <w:b/>
          <w:bCs/>
          <w:sz w:val="20"/>
          <w:szCs w:val="20"/>
        </w:rPr>
        <w:t>Foro</w:t>
      </w:r>
      <w:r>
        <w:rPr>
          <w:rFonts w:ascii="Arial" w:hAnsi="Arial" w:cs="Arial"/>
          <w:sz w:val="20"/>
          <w:szCs w:val="20"/>
        </w:rPr>
        <w:t>, marzo, p. 10 – 12, 2005.</w:t>
      </w:r>
    </w:p>
    <w:p w14:paraId="0A23F4F2" w14:textId="77777777" w:rsidR="00E47FB5" w:rsidRDefault="00E47FB5" w:rsidP="00E47FB5">
      <w:pPr>
        <w:pStyle w:val="Default"/>
        <w:jc w:val="both"/>
        <w:rPr>
          <w:rFonts w:ascii="Arial" w:hAnsi="Arial" w:cs="Arial"/>
          <w:sz w:val="20"/>
          <w:szCs w:val="20"/>
        </w:rPr>
      </w:pPr>
    </w:p>
    <w:p w14:paraId="2078AA74" w14:textId="77777777" w:rsidR="00E47FB5" w:rsidRDefault="00E47FB5" w:rsidP="00E47FB5">
      <w:pPr>
        <w:pStyle w:val="Default"/>
        <w:jc w:val="both"/>
        <w:rPr>
          <w:rFonts w:ascii="Arial" w:hAnsi="Arial" w:cs="Arial"/>
          <w:sz w:val="20"/>
          <w:szCs w:val="20"/>
        </w:rPr>
      </w:pPr>
      <w:r>
        <w:rPr>
          <w:rFonts w:ascii="Arial" w:hAnsi="Arial" w:cs="Arial"/>
          <w:sz w:val="20"/>
          <w:szCs w:val="20"/>
        </w:rPr>
        <w:t xml:space="preserve">FERREIRA, J. S.; BALDANI, J. I.; BALDANI, V. L. D. Seleção de inoculantes à base de turfa contendo bactérias diazotróficas em duas variedades de arroz. </w:t>
      </w:r>
      <w:r>
        <w:rPr>
          <w:rFonts w:ascii="Arial" w:hAnsi="Arial" w:cs="Arial"/>
          <w:b/>
          <w:bCs/>
          <w:sz w:val="20"/>
          <w:szCs w:val="20"/>
        </w:rPr>
        <w:t>Acta Scientiarum Agronomy</w:t>
      </w:r>
      <w:r>
        <w:rPr>
          <w:rFonts w:ascii="Arial" w:hAnsi="Arial" w:cs="Arial"/>
          <w:sz w:val="20"/>
          <w:szCs w:val="20"/>
        </w:rPr>
        <w:t xml:space="preserve">, Maringá, v. 32, n. 1, p. 179-185, 2010 </w:t>
      </w:r>
    </w:p>
    <w:p w14:paraId="502FE301" w14:textId="77777777" w:rsidR="00E47FB5" w:rsidRDefault="00E47FB5" w:rsidP="00E47FB5">
      <w:pPr>
        <w:pStyle w:val="Default"/>
        <w:jc w:val="both"/>
        <w:rPr>
          <w:rFonts w:ascii="Arial" w:hAnsi="Arial" w:cs="Arial"/>
          <w:sz w:val="20"/>
          <w:szCs w:val="20"/>
        </w:rPr>
      </w:pPr>
    </w:p>
    <w:p w14:paraId="58248669" w14:textId="77777777" w:rsidR="00E47FB5" w:rsidRDefault="00E47FB5" w:rsidP="00E47FB5">
      <w:pPr>
        <w:pStyle w:val="Default"/>
        <w:jc w:val="both"/>
        <w:rPr>
          <w:rFonts w:ascii="Arial" w:hAnsi="Arial" w:cs="Arial"/>
          <w:sz w:val="20"/>
          <w:szCs w:val="20"/>
        </w:rPr>
      </w:pPr>
      <w:r>
        <w:rPr>
          <w:rFonts w:ascii="Arial" w:hAnsi="Arial" w:cs="Arial"/>
          <w:sz w:val="20"/>
          <w:szCs w:val="20"/>
        </w:rPr>
        <w:t xml:space="preserve">GUIMARÃES, S.L., CAMPOS, D.T.S., BALDANI, V.L.D., JACOB-NETO, J. Bactérias diazotróficas e adubação nitrogenada em cultivares de arroz. </w:t>
      </w:r>
      <w:r>
        <w:rPr>
          <w:rFonts w:ascii="Arial" w:hAnsi="Arial" w:cs="Arial"/>
          <w:b/>
          <w:bCs/>
          <w:sz w:val="20"/>
          <w:szCs w:val="20"/>
        </w:rPr>
        <w:t>Revista Caatinga</w:t>
      </w:r>
      <w:r>
        <w:rPr>
          <w:rFonts w:ascii="Arial" w:hAnsi="Arial" w:cs="Arial"/>
          <w:sz w:val="20"/>
          <w:szCs w:val="20"/>
        </w:rPr>
        <w:t xml:space="preserve">. Mossoró, v.23, n.4, p.32-39, 2010. </w:t>
      </w:r>
    </w:p>
    <w:p w14:paraId="0C455D50" w14:textId="77777777" w:rsidR="00E47FB5" w:rsidRDefault="00E47FB5" w:rsidP="00E47FB5">
      <w:pPr>
        <w:pStyle w:val="Default"/>
        <w:jc w:val="both"/>
        <w:rPr>
          <w:rFonts w:ascii="Arial" w:hAnsi="Arial" w:cs="Arial"/>
          <w:sz w:val="20"/>
          <w:szCs w:val="20"/>
        </w:rPr>
      </w:pPr>
    </w:p>
    <w:p w14:paraId="5C198081" w14:textId="77777777" w:rsidR="00E47FB5" w:rsidRDefault="00E47FB5" w:rsidP="00E47FB5">
      <w:pPr>
        <w:adjustRightInd w:val="0"/>
        <w:jc w:val="both"/>
        <w:rPr>
          <w:rFonts w:ascii="Arial" w:hAnsi="Arial" w:cs="Arial"/>
          <w:sz w:val="20"/>
          <w:szCs w:val="20"/>
        </w:rPr>
      </w:pPr>
      <w:r>
        <w:rPr>
          <w:rFonts w:ascii="Arial" w:hAnsi="Arial" w:cs="Arial"/>
          <w:lang w:val="pt-BR"/>
        </w:rPr>
        <w:t xml:space="preserve">OGAWA, M. Red rice. </w:t>
      </w:r>
      <w:r>
        <w:rPr>
          <w:rFonts w:ascii="Arial" w:hAnsi="Arial" w:cs="Arial"/>
          <w:b/>
        </w:rPr>
        <w:t>Chemistry and organisms</w:t>
      </w:r>
      <w:r>
        <w:rPr>
          <w:rFonts w:ascii="Arial" w:hAnsi="Arial" w:cs="Arial"/>
        </w:rPr>
        <w:t>, v.30, n.6, p.385-388, 1992.</w:t>
      </w:r>
    </w:p>
    <w:p w14:paraId="5963C8C7" w14:textId="77777777" w:rsidR="00E47FB5" w:rsidRDefault="00E47FB5" w:rsidP="00E47FB5">
      <w:pPr>
        <w:adjustRightInd w:val="0"/>
        <w:jc w:val="both"/>
        <w:rPr>
          <w:rFonts w:ascii="Arial" w:hAnsi="Arial" w:cs="Arial"/>
        </w:rPr>
      </w:pPr>
    </w:p>
    <w:p w14:paraId="641A540E" w14:textId="77777777" w:rsidR="00E47FB5" w:rsidRDefault="00E47FB5" w:rsidP="00E47FB5">
      <w:pPr>
        <w:jc w:val="both"/>
        <w:rPr>
          <w:rFonts w:ascii="Arial" w:hAnsi="Arial" w:cs="Arial"/>
          <w:lang w:val="pt-BR"/>
        </w:rPr>
      </w:pPr>
      <w:r>
        <w:rPr>
          <w:rFonts w:ascii="Arial" w:hAnsi="Arial" w:cs="Arial"/>
        </w:rPr>
        <w:t>PANTONE, D.J.; BEKER, J.B. Reciprocal yield analysis of red rice (</w:t>
      </w:r>
      <w:r>
        <w:rPr>
          <w:rFonts w:ascii="Arial" w:hAnsi="Arial" w:cs="Arial"/>
          <w:i/>
        </w:rPr>
        <w:t>Oryza sativa</w:t>
      </w:r>
      <w:r>
        <w:rPr>
          <w:rFonts w:ascii="Arial" w:hAnsi="Arial" w:cs="Arial"/>
        </w:rPr>
        <w:t xml:space="preserve">) competition in cultivated rice. </w:t>
      </w:r>
      <w:r>
        <w:rPr>
          <w:rFonts w:ascii="Arial" w:hAnsi="Arial" w:cs="Arial"/>
          <w:b/>
          <w:lang w:val="pt-BR"/>
        </w:rPr>
        <w:t>Weed Science</w:t>
      </w:r>
      <w:r>
        <w:rPr>
          <w:rFonts w:ascii="Arial" w:hAnsi="Arial" w:cs="Arial"/>
          <w:lang w:val="pt-BR"/>
        </w:rPr>
        <w:t>, v.39, n.1, p.42-47, 1991.</w:t>
      </w:r>
    </w:p>
    <w:p w14:paraId="61178E27" w14:textId="77777777" w:rsidR="00E47FB5" w:rsidRDefault="00E47FB5" w:rsidP="00E47FB5">
      <w:pPr>
        <w:jc w:val="both"/>
        <w:rPr>
          <w:rFonts w:ascii="Arial" w:hAnsi="Arial" w:cs="Arial"/>
          <w:lang w:val="pt-BR"/>
        </w:rPr>
      </w:pPr>
    </w:p>
    <w:p w14:paraId="5FB54BAD" w14:textId="77777777" w:rsidR="00E47FB5" w:rsidRDefault="00E47FB5" w:rsidP="00E47FB5">
      <w:pPr>
        <w:jc w:val="both"/>
        <w:rPr>
          <w:rFonts w:ascii="Arial" w:hAnsi="Arial" w:cs="Arial"/>
          <w:lang w:val="pt-BR"/>
        </w:rPr>
      </w:pPr>
      <w:r>
        <w:rPr>
          <w:rFonts w:ascii="Arial" w:hAnsi="Arial" w:cs="Arial"/>
          <w:lang w:val="pt-BR"/>
        </w:rPr>
        <w:t xml:space="preserve">PEIXOTO NETO, P. A. S.; AZEVEDO, J. L.; CAETANO, L. C. Microrganismos endofíticos em plantas: status atual e perspectivas. </w:t>
      </w:r>
      <w:r>
        <w:rPr>
          <w:rFonts w:ascii="Arial" w:hAnsi="Arial" w:cs="Arial"/>
          <w:b/>
          <w:lang w:val="pt-BR"/>
        </w:rPr>
        <w:t xml:space="preserve">Boletin Latinoamericano y del Caribe de Plantas </w:t>
      </w:r>
      <w:r>
        <w:rPr>
          <w:rFonts w:ascii="Arial" w:hAnsi="Arial" w:cs="Arial"/>
          <w:b/>
          <w:lang w:val="pt-BR"/>
        </w:rPr>
        <w:t>Medicinales y Aromáticas</w:t>
      </w:r>
      <w:r>
        <w:rPr>
          <w:rFonts w:ascii="Arial" w:hAnsi="Arial" w:cs="Arial"/>
          <w:lang w:val="pt-BR"/>
        </w:rPr>
        <w:t>, v.3, n.4, p.69-72, 2004.</w:t>
      </w:r>
    </w:p>
    <w:p w14:paraId="49252010" w14:textId="77777777" w:rsidR="00E47FB5" w:rsidRDefault="00E47FB5" w:rsidP="00E47FB5">
      <w:pPr>
        <w:jc w:val="both"/>
        <w:rPr>
          <w:rFonts w:ascii="Arial" w:hAnsi="Arial" w:cs="Arial"/>
          <w:lang w:val="pt-BR"/>
        </w:rPr>
      </w:pPr>
    </w:p>
    <w:p w14:paraId="304BD517" w14:textId="77777777" w:rsidR="00E47FB5" w:rsidRDefault="00E47FB5" w:rsidP="00E47FB5">
      <w:pPr>
        <w:pStyle w:val="Corpodetexto3"/>
        <w:tabs>
          <w:tab w:val="left" w:pos="0"/>
        </w:tabs>
        <w:spacing w:after="0"/>
        <w:jc w:val="both"/>
        <w:rPr>
          <w:rFonts w:ascii="Arial" w:hAnsi="Arial" w:cs="Arial"/>
          <w:sz w:val="20"/>
          <w:szCs w:val="20"/>
          <w:lang w:val="x-none"/>
        </w:rPr>
      </w:pPr>
      <w:r>
        <w:rPr>
          <w:rFonts w:ascii="Arial" w:hAnsi="Arial" w:cs="Arial"/>
          <w:sz w:val="20"/>
          <w:szCs w:val="20"/>
        </w:rPr>
        <w:t xml:space="preserve">PEREIRA, A. R.; ANGELOCCI, L. R.; SENTELHAS, P. C. Agrometeorologia: fundamentos e aplicações. São Paulo: </w:t>
      </w:r>
      <w:r>
        <w:rPr>
          <w:rFonts w:ascii="Arial" w:hAnsi="Arial" w:cs="Arial"/>
          <w:b/>
          <w:sz w:val="20"/>
          <w:szCs w:val="20"/>
        </w:rPr>
        <w:t>Funep</w:t>
      </w:r>
      <w:r>
        <w:rPr>
          <w:rFonts w:ascii="Arial" w:hAnsi="Arial" w:cs="Arial"/>
          <w:sz w:val="20"/>
          <w:szCs w:val="20"/>
        </w:rPr>
        <w:t>, 478p, 2002.</w:t>
      </w:r>
    </w:p>
    <w:p w14:paraId="683A8D93" w14:textId="77777777" w:rsidR="00E47FB5" w:rsidRDefault="00E47FB5" w:rsidP="00E47FB5">
      <w:pPr>
        <w:pStyle w:val="Corpodetexto3"/>
        <w:tabs>
          <w:tab w:val="left" w:pos="0"/>
        </w:tabs>
        <w:spacing w:after="0"/>
        <w:jc w:val="both"/>
        <w:rPr>
          <w:rFonts w:ascii="Arial" w:hAnsi="Arial" w:cs="Arial"/>
          <w:sz w:val="20"/>
          <w:szCs w:val="20"/>
        </w:rPr>
      </w:pPr>
    </w:p>
    <w:p w14:paraId="29561F6A" w14:textId="77777777" w:rsidR="00E47FB5" w:rsidRDefault="00E47FB5" w:rsidP="00E47FB5">
      <w:pPr>
        <w:jc w:val="both"/>
        <w:rPr>
          <w:rFonts w:ascii="Arial" w:hAnsi="Arial" w:cs="Arial"/>
          <w:sz w:val="20"/>
          <w:szCs w:val="20"/>
          <w:lang w:val="pt-BR"/>
        </w:rPr>
      </w:pPr>
      <w:r>
        <w:rPr>
          <w:rFonts w:ascii="Arial" w:hAnsi="Arial" w:cs="Arial"/>
          <w:lang w:val="pt-BR"/>
        </w:rPr>
        <w:t xml:space="preserve">PEREIRA, J. A. </w:t>
      </w:r>
      <w:r>
        <w:rPr>
          <w:rFonts w:ascii="Arial" w:hAnsi="Arial" w:cs="Arial"/>
          <w:b/>
          <w:lang w:val="pt-BR"/>
        </w:rPr>
        <w:t>O arroz-vermelho cultivado no Brasil</w:t>
      </w:r>
      <w:r>
        <w:rPr>
          <w:rFonts w:ascii="Arial" w:hAnsi="Arial" w:cs="Arial"/>
          <w:lang w:val="pt-BR"/>
        </w:rPr>
        <w:t>. Teresina: Embrapa Meio-Norte, 2004.</w:t>
      </w:r>
    </w:p>
    <w:p w14:paraId="67FFE545" w14:textId="77777777" w:rsidR="00E47FB5" w:rsidRDefault="00E47FB5" w:rsidP="00E47FB5">
      <w:pPr>
        <w:jc w:val="both"/>
        <w:rPr>
          <w:rFonts w:ascii="Arial" w:hAnsi="Arial" w:cs="Arial"/>
          <w:lang w:val="pt-BR"/>
        </w:rPr>
      </w:pPr>
    </w:p>
    <w:p w14:paraId="5F0B7802" w14:textId="77777777" w:rsidR="00E47FB5" w:rsidRDefault="00E47FB5" w:rsidP="00E47FB5">
      <w:pPr>
        <w:pStyle w:val="Default"/>
        <w:jc w:val="both"/>
        <w:rPr>
          <w:rFonts w:ascii="Arial" w:hAnsi="Arial" w:cs="Arial"/>
          <w:sz w:val="20"/>
          <w:szCs w:val="20"/>
          <w:lang w:val="en-US"/>
        </w:rPr>
      </w:pPr>
      <w:r>
        <w:rPr>
          <w:rFonts w:ascii="Arial" w:hAnsi="Arial" w:cs="Arial"/>
          <w:sz w:val="20"/>
          <w:szCs w:val="20"/>
          <w:lang w:val="en-US"/>
        </w:rPr>
        <w:t xml:space="preserve">REIS, V. M.; BALDANI, J. I.; BALDANI, V. L. D.; DÖBEREINER, J. Biological dinitrogen fixation in gramineae and palm trees. </w:t>
      </w:r>
      <w:r>
        <w:rPr>
          <w:rFonts w:ascii="Arial" w:hAnsi="Arial" w:cs="Arial"/>
          <w:b/>
          <w:bCs/>
          <w:sz w:val="20"/>
          <w:szCs w:val="20"/>
          <w:lang w:val="en-US"/>
        </w:rPr>
        <w:t>Critical Reviews in Plant Sciences</w:t>
      </w:r>
      <w:r>
        <w:rPr>
          <w:rFonts w:ascii="Arial" w:hAnsi="Arial" w:cs="Arial"/>
          <w:sz w:val="20"/>
          <w:szCs w:val="20"/>
          <w:lang w:val="en-US"/>
        </w:rPr>
        <w:t xml:space="preserve">, v. 19, p. 227-247, 2000. </w:t>
      </w:r>
    </w:p>
    <w:p w14:paraId="5607CCCD" w14:textId="77777777" w:rsidR="00E47FB5" w:rsidRDefault="00E47FB5" w:rsidP="00E47FB5">
      <w:pPr>
        <w:pStyle w:val="Default"/>
        <w:jc w:val="both"/>
        <w:rPr>
          <w:rFonts w:ascii="Arial" w:hAnsi="Arial" w:cs="Arial"/>
          <w:sz w:val="20"/>
          <w:szCs w:val="20"/>
          <w:lang w:val="en-US"/>
        </w:rPr>
      </w:pPr>
    </w:p>
    <w:p w14:paraId="0448B9C8" w14:textId="77777777" w:rsidR="00E47FB5" w:rsidRDefault="00E47FB5" w:rsidP="00E47FB5">
      <w:pPr>
        <w:pStyle w:val="Default"/>
        <w:jc w:val="both"/>
        <w:rPr>
          <w:rFonts w:ascii="Arial" w:hAnsi="Arial" w:cs="Arial"/>
          <w:sz w:val="20"/>
          <w:szCs w:val="20"/>
          <w:lang w:val="en-US"/>
        </w:rPr>
      </w:pPr>
      <w:r>
        <w:rPr>
          <w:rFonts w:ascii="Arial" w:hAnsi="Arial" w:cs="Arial"/>
          <w:sz w:val="20"/>
          <w:szCs w:val="20"/>
          <w:lang w:val="en-US"/>
        </w:rPr>
        <w:t xml:space="preserve">SOMERS, E.; VANDERLEYDEN, J. Rhizosphere bacterial signalling: a love parade beneath oufeet. </w:t>
      </w:r>
      <w:r>
        <w:rPr>
          <w:rFonts w:ascii="Arial" w:hAnsi="Arial" w:cs="Arial"/>
          <w:b/>
          <w:bCs/>
          <w:sz w:val="20"/>
          <w:szCs w:val="20"/>
          <w:lang w:val="en-US"/>
        </w:rPr>
        <w:t>Critical Reviews in Microbiology</w:t>
      </w:r>
      <w:r>
        <w:rPr>
          <w:rFonts w:ascii="Arial" w:hAnsi="Arial" w:cs="Arial"/>
          <w:sz w:val="20"/>
          <w:szCs w:val="20"/>
          <w:lang w:val="en-US"/>
        </w:rPr>
        <w:t xml:space="preserve">, v.30, p. 205-240, 2004. </w:t>
      </w:r>
    </w:p>
    <w:p w14:paraId="750BD0F2" w14:textId="77777777" w:rsidR="00E47FB5" w:rsidRDefault="00E47FB5" w:rsidP="00E47FB5">
      <w:pPr>
        <w:pStyle w:val="References"/>
        <w:numPr>
          <w:ilvl w:val="0"/>
          <w:numId w:val="0"/>
        </w:numPr>
        <w:tabs>
          <w:tab w:val="left" w:pos="708"/>
        </w:tabs>
        <w:rPr>
          <w:rFonts w:ascii="Arial" w:hAnsi="Arial" w:cs="Arial"/>
          <w:sz w:val="20"/>
          <w:szCs w:val="20"/>
        </w:rPr>
      </w:pPr>
    </w:p>
    <w:p w14:paraId="615BC2F5" w14:textId="77777777" w:rsidR="00E47FB5" w:rsidRDefault="00E47FB5" w:rsidP="00E47FB5">
      <w:pPr>
        <w:autoSpaceDE/>
        <w:autoSpaceDN/>
        <w:rPr>
          <w:rFonts w:ascii="Arial" w:hAnsi="Arial" w:cs="Arial"/>
        </w:rPr>
        <w:sectPr w:rsidR="00E47FB5">
          <w:type w:val="continuous"/>
          <w:pgSz w:w="11907" w:h="16840"/>
          <w:pgMar w:top="851" w:right="1134" w:bottom="1134" w:left="1134" w:header="1134" w:footer="1134" w:gutter="0"/>
          <w:cols w:num="2" w:space="284"/>
        </w:sectPr>
      </w:pPr>
    </w:p>
    <w:p w14:paraId="4C1D633B" w14:textId="77777777" w:rsidR="008323DE" w:rsidRPr="00F8133B" w:rsidRDefault="008323DE" w:rsidP="00F8133B">
      <w:pPr>
        <w:jc w:val="both"/>
        <w:rPr>
          <w:rFonts w:ascii="Arial" w:hAnsi="Arial" w:cs="Arial"/>
        </w:rPr>
      </w:pPr>
      <w:bookmarkStart w:id="0" w:name="_GoBack"/>
      <w:bookmarkEnd w:id="0"/>
    </w:p>
    <w:sectPr w:rsidR="008323DE" w:rsidRPr="00F8133B">
      <w:pgSz w:w="11910" w:h="16840"/>
      <w:pgMar w:top="1580" w:right="10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TE1A3B520T00">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 w15:restartNumberingAfterBreak="0">
    <w:nsid w:val="6C0728F8"/>
    <w:multiLevelType w:val="hybridMultilevel"/>
    <w:tmpl w:val="E7181688"/>
    <w:lvl w:ilvl="0" w:tplc="D05E2B1C">
      <w:start w:val="1"/>
      <w:numFmt w:val="upperRoman"/>
      <w:lvlText w:val="%1."/>
      <w:lvlJc w:val="left"/>
      <w:pPr>
        <w:ind w:left="356" w:hanging="214"/>
      </w:pPr>
      <w:rPr>
        <w:rFonts w:ascii="Times New Roman" w:eastAsia="Times New Roman" w:hAnsi="Times New Roman" w:cs="Times New Roman" w:hint="default"/>
        <w:b/>
        <w:bCs/>
        <w:w w:val="99"/>
        <w:sz w:val="24"/>
        <w:szCs w:val="24"/>
        <w:lang w:val="pt-PT" w:eastAsia="en-US" w:bidi="ar-SA"/>
      </w:rPr>
    </w:lvl>
    <w:lvl w:ilvl="1" w:tplc="15DC05B8">
      <w:start w:val="1"/>
      <w:numFmt w:val="decimal"/>
      <w:lvlText w:val="%2."/>
      <w:lvlJc w:val="left"/>
      <w:pPr>
        <w:ind w:left="342" w:hanging="240"/>
      </w:pPr>
      <w:rPr>
        <w:rFonts w:ascii="Times New Roman" w:eastAsia="Times New Roman" w:hAnsi="Times New Roman" w:cs="Times New Roman" w:hint="default"/>
        <w:w w:val="100"/>
        <w:sz w:val="24"/>
        <w:szCs w:val="24"/>
        <w:lang w:val="pt-PT" w:eastAsia="en-US" w:bidi="ar-SA"/>
      </w:rPr>
    </w:lvl>
    <w:lvl w:ilvl="2" w:tplc="CF94EA56">
      <w:numFmt w:val="bullet"/>
      <w:lvlText w:val="•"/>
      <w:lvlJc w:val="left"/>
      <w:pPr>
        <w:ind w:left="1334" w:hanging="240"/>
      </w:pPr>
      <w:rPr>
        <w:rFonts w:hint="default"/>
        <w:lang w:val="pt-PT" w:eastAsia="en-US" w:bidi="ar-SA"/>
      </w:rPr>
    </w:lvl>
    <w:lvl w:ilvl="3" w:tplc="7D548932">
      <w:numFmt w:val="bullet"/>
      <w:lvlText w:val="•"/>
      <w:lvlJc w:val="left"/>
      <w:pPr>
        <w:ind w:left="2328" w:hanging="240"/>
      </w:pPr>
      <w:rPr>
        <w:rFonts w:hint="default"/>
        <w:lang w:val="pt-PT" w:eastAsia="en-US" w:bidi="ar-SA"/>
      </w:rPr>
    </w:lvl>
    <w:lvl w:ilvl="4" w:tplc="D35CEAA8">
      <w:numFmt w:val="bullet"/>
      <w:lvlText w:val="•"/>
      <w:lvlJc w:val="left"/>
      <w:pPr>
        <w:ind w:left="3322" w:hanging="240"/>
      </w:pPr>
      <w:rPr>
        <w:rFonts w:hint="default"/>
        <w:lang w:val="pt-PT" w:eastAsia="en-US" w:bidi="ar-SA"/>
      </w:rPr>
    </w:lvl>
    <w:lvl w:ilvl="5" w:tplc="DA4897B2">
      <w:numFmt w:val="bullet"/>
      <w:lvlText w:val="•"/>
      <w:lvlJc w:val="left"/>
      <w:pPr>
        <w:ind w:left="4316" w:hanging="240"/>
      </w:pPr>
      <w:rPr>
        <w:rFonts w:hint="default"/>
        <w:lang w:val="pt-PT" w:eastAsia="en-US" w:bidi="ar-SA"/>
      </w:rPr>
    </w:lvl>
    <w:lvl w:ilvl="6" w:tplc="29A4CA8A">
      <w:numFmt w:val="bullet"/>
      <w:lvlText w:val="•"/>
      <w:lvlJc w:val="left"/>
      <w:pPr>
        <w:ind w:left="5310" w:hanging="240"/>
      </w:pPr>
      <w:rPr>
        <w:rFonts w:hint="default"/>
        <w:lang w:val="pt-PT" w:eastAsia="en-US" w:bidi="ar-SA"/>
      </w:rPr>
    </w:lvl>
    <w:lvl w:ilvl="7" w:tplc="B4EAEC36">
      <w:numFmt w:val="bullet"/>
      <w:lvlText w:val="•"/>
      <w:lvlJc w:val="left"/>
      <w:pPr>
        <w:ind w:left="6304" w:hanging="240"/>
      </w:pPr>
      <w:rPr>
        <w:rFonts w:hint="default"/>
        <w:lang w:val="pt-PT" w:eastAsia="en-US" w:bidi="ar-SA"/>
      </w:rPr>
    </w:lvl>
    <w:lvl w:ilvl="8" w:tplc="8DDE172E">
      <w:numFmt w:val="bullet"/>
      <w:lvlText w:val="•"/>
      <w:lvlJc w:val="left"/>
      <w:pPr>
        <w:ind w:left="7298" w:hanging="240"/>
      </w:pPr>
      <w:rPr>
        <w:rFonts w:hint="default"/>
        <w:lang w:val="pt-PT" w:eastAsia="en-US" w:bidi="ar-SA"/>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6C"/>
    <w:rsid w:val="0044101F"/>
    <w:rsid w:val="004E7D5E"/>
    <w:rsid w:val="0052557F"/>
    <w:rsid w:val="005D0D00"/>
    <w:rsid w:val="00686D84"/>
    <w:rsid w:val="0070036C"/>
    <w:rsid w:val="008236FB"/>
    <w:rsid w:val="008323DE"/>
    <w:rsid w:val="00915DF9"/>
    <w:rsid w:val="00A460DE"/>
    <w:rsid w:val="00A54D23"/>
    <w:rsid w:val="00A71756"/>
    <w:rsid w:val="00DE21D6"/>
    <w:rsid w:val="00E47FB5"/>
    <w:rsid w:val="00F813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4F0A"/>
  <w15:docId w15:val="{D5280996-0A3E-4B5D-A4D3-80518469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102" w:hanging="307"/>
      <w:outlineLvl w:val="0"/>
    </w:pPr>
    <w:rPr>
      <w:b/>
      <w:bCs/>
      <w:sz w:val="24"/>
      <w:szCs w:val="24"/>
    </w:rPr>
  </w:style>
  <w:style w:type="paragraph" w:styleId="Ttulo2">
    <w:name w:val="heading 2"/>
    <w:basedOn w:val="Normal"/>
    <w:next w:val="Normal"/>
    <w:link w:val="Ttulo2Char"/>
    <w:uiPriority w:val="9"/>
    <w:semiHidden/>
    <w:unhideWhenUsed/>
    <w:qFormat/>
    <w:rsid w:val="00E47F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342" w:hanging="241"/>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4E7D5E"/>
    <w:rPr>
      <w:sz w:val="16"/>
      <w:szCs w:val="16"/>
    </w:rPr>
  </w:style>
  <w:style w:type="paragraph" w:styleId="Textodecomentrio">
    <w:name w:val="annotation text"/>
    <w:basedOn w:val="Normal"/>
    <w:link w:val="TextodecomentrioChar"/>
    <w:uiPriority w:val="99"/>
    <w:semiHidden/>
    <w:unhideWhenUsed/>
    <w:rsid w:val="004E7D5E"/>
    <w:rPr>
      <w:sz w:val="20"/>
      <w:szCs w:val="20"/>
    </w:rPr>
  </w:style>
  <w:style w:type="character" w:customStyle="1" w:styleId="TextodecomentrioChar">
    <w:name w:val="Texto de comentário Char"/>
    <w:basedOn w:val="Fontepargpadro"/>
    <w:link w:val="Textodecomentrio"/>
    <w:uiPriority w:val="99"/>
    <w:semiHidden/>
    <w:rsid w:val="004E7D5E"/>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4E7D5E"/>
    <w:rPr>
      <w:b/>
      <w:bCs/>
    </w:rPr>
  </w:style>
  <w:style w:type="character" w:customStyle="1" w:styleId="AssuntodocomentrioChar">
    <w:name w:val="Assunto do comentário Char"/>
    <w:basedOn w:val="TextodecomentrioChar"/>
    <w:link w:val="Assuntodocomentrio"/>
    <w:uiPriority w:val="99"/>
    <w:semiHidden/>
    <w:rsid w:val="004E7D5E"/>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4E7D5E"/>
    <w:rPr>
      <w:rFonts w:ascii="Segoe UI" w:hAnsi="Segoe UI" w:cs="Segoe UI"/>
      <w:sz w:val="18"/>
      <w:szCs w:val="18"/>
    </w:rPr>
  </w:style>
  <w:style w:type="character" w:customStyle="1" w:styleId="TextodebaloChar">
    <w:name w:val="Texto de balão Char"/>
    <w:basedOn w:val="Fontepargpadro"/>
    <w:link w:val="Textodebalo"/>
    <w:uiPriority w:val="99"/>
    <w:semiHidden/>
    <w:rsid w:val="004E7D5E"/>
    <w:rPr>
      <w:rFonts w:ascii="Segoe UI" w:eastAsia="Times New Roman" w:hAnsi="Segoe UI" w:cs="Segoe UI"/>
      <w:sz w:val="18"/>
      <w:szCs w:val="18"/>
      <w:lang w:val="pt-PT"/>
    </w:rPr>
  </w:style>
  <w:style w:type="character" w:customStyle="1" w:styleId="Ttulo2Char">
    <w:name w:val="Título 2 Char"/>
    <w:basedOn w:val="Fontepargpadro"/>
    <w:link w:val="Ttulo2"/>
    <w:uiPriority w:val="9"/>
    <w:semiHidden/>
    <w:rsid w:val="00E47FB5"/>
    <w:rPr>
      <w:rFonts w:asciiTheme="majorHAnsi" w:eastAsiaTheme="majorEastAsia" w:hAnsiTheme="majorHAnsi" w:cstheme="majorBidi"/>
      <w:color w:val="365F91" w:themeColor="accent1" w:themeShade="BF"/>
      <w:sz w:val="26"/>
      <w:szCs w:val="26"/>
      <w:lang w:val="pt-PT"/>
    </w:rPr>
  </w:style>
  <w:style w:type="paragraph" w:styleId="Corpodetexto3">
    <w:name w:val="Body Text 3"/>
    <w:basedOn w:val="Normal"/>
    <w:link w:val="Corpodetexto3Char"/>
    <w:uiPriority w:val="99"/>
    <w:semiHidden/>
    <w:unhideWhenUsed/>
    <w:rsid w:val="00E47FB5"/>
    <w:pPr>
      <w:spacing w:after="120"/>
    </w:pPr>
    <w:rPr>
      <w:sz w:val="16"/>
      <w:szCs w:val="16"/>
    </w:rPr>
  </w:style>
  <w:style w:type="character" w:customStyle="1" w:styleId="Corpodetexto3Char">
    <w:name w:val="Corpo de texto 3 Char"/>
    <w:basedOn w:val="Fontepargpadro"/>
    <w:link w:val="Corpodetexto3"/>
    <w:uiPriority w:val="99"/>
    <w:semiHidden/>
    <w:rsid w:val="00E47FB5"/>
    <w:rPr>
      <w:rFonts w:ascii="Times New Roman" w:eastAsia="Times New Roman" w:hAnsi="Times New Roman" w:cs="Times New Roman"/>
      <w:sz w:val="16"/>
      <w:szCs w:val="16"/>
      <w:lang w:val="pt-PT"/>
    </w:rPr>
  </w:style>
  <w:style w:type="paragraph" w:customStyle="1" w:styleId="Abstract">
    <w:name w:val="Abstract"/>
    <w:basedOn w:val="Normal"/>
    <w:next w:val="Normal"/>
    <w:rsid w:val="00E47FB5"/>
    <w:pPr>
      <w:widowControl/>
      <w:spacing w:before="20"/>
      <w:ind w:firstLine="202"/>
      <w:jc w:val="both"/>
    </w:pPr>
    <w:rPr>
      <w:b/>
      <w:bCs/>
      <w:sz w:val="18"/>
      <w:szCs w:val="18"/>
      <w:lang w:val="en-US"/>
    </w:rPr>
  </w:style>
  <w:style w:type="paragraph" w:customStyle="1" w:styleId="References">
    <w:name w:val="References"/>
    <w:basedOn w:val="Normal"/>
    <w:rsid w:val="00E47FB5"/>
    <w:pPr>
      <w:widowControl/>
      <w:numPr>
        <w:numId w:val="2"/>
      </w:numPr>
      <w:jc w:val="both"/>
    </w:pPr>
    <w:rPr>
      <w:sz w:val="16"/>
      <w:szCs w:val="16"/>
      <w:lang w:val="en-US"/>
    </w:rPr>
  </w:style>
  <w:style w:type="paragraph" w:customStyle="1" w:styleId="Text">
    <w:name w:val="Text"/>
    <w:basedOn w:val="Normal"/>
    <w:rsid w:val="00E47FB5"/>
    <w:pPr>
      <w:spacing w:line="252" w:lineRule="auto"/>
      <w:ind w:firstLine="202"/>
      <w:jc w:val="both"/>
    </w:pPr>
    <w:rPr>
      <w:sz w:val="20"/>
      <w:szCs w:val="20"/>
      <w:lang w:val="en-US"/>
    </w:rPr>
  </w:style>
  <w:style w:type="paragraph" w:customStyle="1" w:styleId="ReferenceHead">
    <w:name w:val="Reference Head"/>
    <w:basedOn w:val="Ttulo1"/>
    <w:rsid w:val="00E47FB5"/>
    <w:pPr>
      <w:keepNext/>
      <w:widowControl/>
      <w:spacing w:before="240" w:after="80"/>
      <w:ind w:left="0" w:firstLine="0"/>
      <w:jc w:val="center"/>
    </w:pPr>
    <w:rPr>
      <w:b w:val="0"/>
      <w:bCs w:val="0"/>
      <w:smallCaps/>
      <w:kern w:val="28"/>
      <w:sz w:val="20"/>
      <w:szCs w:val="20"/>
      <w:lang w:val="en-US"/>
    </w:rPr>
  </w:style>
  <w:style w:type="paragraph" w:customStyle="1" w:styleId="Default">
    <w:name w:val="Default"/>
    <w:rsid w:val="00E47FB5"/>
    <w:pPr>
      <w:widowControl/>
      <w:adjustRightInd w:val="0"/>
    </w:pPr>
    <w:rPr>
      <w:rFonts w:ascii="Times New Roman" w:eastAsia="Calibri" w:hAnsi="Times New Roman" w:cs="Times New Roman"/>
      <w:color w:val="000000"/>
      <w:sz w:val="24"/>
      <w:szCs w:val="24"/>
      <w:lang w:val="pt-BR"/>
    </w:rPr>
  </w:style>
  <w:style w:type="character" w:styleId="Hyperlink">
    <w:name w:val="Hyperlink"/>
    <w:basedOn w:val="Fontepargpadro"/>
    <w:uiPriority w:val="99"/>
    <w:unhideWhenUsed/>
    <w:rsid w:val="008323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1599</Words>
  <Characters>8637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usuario</cp:lastModifiedBy>
  <cp:revision>3</cp:revision>
  <dcterms:created xsi:type="dcterms:W3CDTF">2022-06-13T14:34:00Z</dcterms:created>
  <dcterms:modified xsi:type="dcterms:W3CDTF">2022-06-13T14:36:00Z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Creator">
    <vt:lpwstr>Microsoft® Office Word 2007</vt:lpwstr>
  </property>
  <property fmtid="{D5CDD505-2E9C-101B-9397-08002B2CF9AE}" pid="4" name="LastSaved">
    <vt:filetime>2022-05-30T00:00:00Z</vt:filetime>
  </property>
</Properties>
</file>